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MisFinanzas</w:t>
      </w:r>
    </w:p>
    <w:p>
      <w:pPr>
        <w:spacing w:after="320"/>
      </w:pPr>
      <w:r>
        <w:rPr>
          <w:i/>
          <w:iCs/>
          <w:sz w:val="24"/>
          <w:szCs w:val="24"/>
        </w:rPr>
        <w:t xml:space="preserve">Resumen del día — 7 de septiembre de 2026 (Día 9 del Plan de Acción)</w:t>
      </w:r>
    </w:p>
    <w:p>
      <w:pPr>
        <w:pStyle w:val="Heading1"/>
        <w:spacing w:after="160" w:before="320"/>
      </w:pPr>
      <w:r>
        <w:t xml:space="preserve">1. Contexto de la sesión</w:t>
      </w:r>
    </w:p>
    <w:p>
      <w:pPr>
        <w:spacing w:after="160"/>
      </w:pPr>
      <w:r>
        <w:t xml:space="preserve">El Día 9 arrancó con dos prompts ya escritos la noche anterior (R4 y S) y terminó con nueve tandas commiteadas. Ninguna de las piezas nuevas planificadas para el día — motor de consejos, onboarding, cierre de mes — llegó a construirse: el día se consumió entero en corrección, y en varios casos en corregir cosas que no estaban en la lista al empezar.</w:t>
      </w:r>
    </w:p>
    <w:p>
      <w:pPr>
        <w:spacing w:after="160"/>
      </w:pPr>
      <w:r>
        <w:t xml:space="preserve">Eso no fue una desviación del plan sino su consecuencia. Cada tanda que se ejecutaba destapaba algo adyacente: R4 dejó ver dos bugs preexistentes de la cabecera; T reveló que el mes de gracia era un huérfano de dos tandas atrás; y la observación casual de que "no sale el aviso de actualización" resultó ser el hallazgo más importante del día.</w:t>
      </w:r>
    </w:p>
    <w:p>
      <w:pPr>
        <w:spacing w:after="160"/>
      </w:pPr>
      <w:r>
        <w:t xml:space="preserve">El método de diagnóstico previo obligatorio —heredado del Día 8— volvió a pagar. Tres veces la hipótesis inicial resultó equivocada, y en las tres el diagnóstico lo detectó antes de escribir código.</w:t>
      </w:r>
    </w:p>
    <w:p>
      <w:pPr>
        <w:pStyle w:val="Heading1"/>
        <w:spacing w:after="160" w:before="320"/>
      </w:pPr>
      <w:r>
        <w:t xml:space="preserve">2. Tanda R4 — Ajustes de la tarjeta y guardarraíl de proyección</w:t>
      </w:r>
    </w:p>
    <w:p>
      <w:pPr>
        <w:spacing w:after="160"/>
      </w:pPr>
      <w:r>
        <w:t xml:space="preserve">Comiteada como ecc6989. Los puntos 1 a 3 eran CSS; el 4 tocaba cálculo y llevó diagnóstico previo.</w:t>
      </w:r>
    </w:p>
    <w:p>
      <w:pPr>
        <w:pStyle w:val="ListParagraph"/>
        <w:numPr>
          <w:ilvl w:val="0"/>
          <w:numId w:val="2"/>
        </w:numPr>
        <w:spacing w:after="120"/>
      </w:pPr>
      <w:r>
        <w:t xml:space="preserve">"Saldo mes anterior" dejó de ser tocable; bloque de contexto compactado; labels de indicadores resaltados.</w:t>
      </w:r>
    </w:p>
    <w:p>
      <w:pPr>
        <w:pStyle w:val="ListParagraph"/>
        <w:numPr>
          <w:ilvl w:val="0"/>
          <w:numId w:val="2"/>
        </w:numPr>
        <w:spacing w:after="120"/>
      </w:pPr>
      <w:r>
        <w:t xml:space="preserve">El diagnóstico reveló una buena noticia: titular y bloque "Proyección de fin de mes" ya compartían proy.dispProyectado. No hacía falta unificar nada, solo corregir en un punto.</w:t>
      </w:r>
    </w:p>
    <w:p>
      <w:pPr>
        <w:pStyle w:val="ListParagraph"/>
        <w:numPr>
          <w:ilvl w:val="0"/>
          <w:numId w:val="2"/>
        </w:numPr>
        <w:spacing w:after="120"/>
      </w:pPr>
      <w:r>
        <w:t xml:space="preserve">Guardarraíl: si el mes en curso no tiene ingresos y existe historial, proyeccionFinDeMes() sustituye el ingreso por la mediana de hasta 3 meses anteriores. Con 3 meses dice "tu ingreso habitual"; con 1 o 2, "según [mes]".</w:t>
      </w:r>
    </w:p>
    <w:p>
      <w:pPr>
        <w:pStyle w:val="ListParagraph"/>
        <w:numPr>
          <w:ilvl w:val="0"/>
          <w:numId w:val="2"/>
        </w:numPr>
        <w:spacing w:after="120"/>
      </w:pPr>
      <w:r>
        <w:t xml:space="preserve">El caso real cayó en la rama de 1-2 meses, como se anticipó: el registro empieza en agosto. En producción el titular muestra "Según agosto (~$707.361)".</w:t>
      </w:r>
    </w:p>
    <w:p>
      <w:pPr>
        <w:pStyle w:val="ListParagraph"/>
        <w:numPr>
          <w:ilvl w:val="0"/>
          <w:numId w:val="2"/>
        </w:numPr>
        <w:spacing w:after="120"/>
      </w:pPr>
      <w:r>
        <w:t xml:space="preserve">El "ya realizado" quedó congelado a propósito: sigue usando el tercer criterio de cálculo identificado en el Día 8 (día del mes ≤ hoy, sin mirar confirmación). Identificado, no corregido.</w:t>
      </w:r>
    </w:p>
    <w:p>
      <w:pPr>
        <w:spacing w:after="160"/>
      </w:pPr>
      <w:r>
        <w:t xml:space="preserve">De paso apareció un bug preexistente peor de lo que se creía: la cifra grande del Disponible se superpone con la dona ya a escala 1× con montos de 7 cifras, no a 1.3× como se pensaba.</w:t>
      </w:r>
    </w:p>
    <w:p>
      <w:pPr>
        <w:pStyle w:val="Heading1"/>
        <w:spacing w:after="160" w:before="320"/>
      </w:pPr>
      <w:r>
        <w:t xml:space="preserve">3. Tanda S — Eliminar con confirmación, cuota terminada, signo y solape</w:t>
      </w:r>
    </w:p>
    <w:p>
      <w:pPr>
        <w:spacing w:after="160"/>
      </w:pPr>
      <w:r>
        <w:t xml:space="preserve">Comiteada como 4c4f5fc.</w:t>
      </w:r>
    </w:p>
    <w:p>
      <w:pPr>
        <w:pStyle w:val="ListParagraph"/>
        <w:numPr>
          <w:ilvl w:val="0"/>
          <w:numId w:val="2"/>
        </w:numPr>
        <w:spacing w:after="120"/>
      </w:pPr>
      <w:r>
        <w:t xml:space="preserve">Confirmación al eliminar que dice qué se borra, con nombre, monto y fecha. Caso especial para compras a crédito, indicando cuántas cuotas futuras se van con ellas.</w:t>
      </w:r>
    </w:p>
    <w:p>
      <w:pPr>
        <w:pStyle w:val="ListParagraph"/>
        <w:numPr>
          <w:ilvl w:val="0"/>
          <w:numId w:val="2"/>
        </w:numPr>
        <w:spacing w:after="120"/>
      </w:pPr>
      <w:r>
        <w:t xml:space="preserve">Deshacer por snapshot en vez de reconstrucción: se guarda el JSON de lo que se elimina y se restaura tal cual, sin recrear objetos ni regenerar IDs.</w:t>
      </w:r>
    </w:p>
    <w:p>
      <w:pPr>
        <w:pStyle w:val="ListParagraph"/>
        <w:numPr>
          <w:ilvl w:val="0"/>
          <w:numId w:val="2"/>
        </w:numPr>
        <w:spacing w:after="120"/>
      </w:pPr>
      <w:r>
        <w:t xml:space="preserve">Aviso de cuota terminada en Insights, agrupando deudas que terminan el mismo mes.</w:t>
      </w:r>
    </w:p>
    <w:p>
      <w:pPr>
        <w:pStyle w:val="ListParagraph"/>
        <w:numPr>
          <w:ilvl w:val="0"/>
          <w:numId w:val="2"/>
        </w:numPr>
        <w:spacing w:after="120"/>
      </w:pPr>
      <w:r>
        <w:t xml:space="preserve">money() corregido: el signo va antes del símbolo de moneda ("-$214.900", no "$-214.900").</w:t>
      </w:r>
    </w:p>
    <w:p>
      <w:pPr>
        <w:pStyle w:val="ListParagraph"/>
        <w:numPr>
          <w:ilvl w:val="0"/>
          <w:numId w:val="2"/>
        </w:numPr>
        <w:spacing w:after="120"/>
      </w:pPr>
      <w:r>
        <w:t xml:space="preserve">Solape de la cifra grande con la dona corregido en las tres escalas de letra.</w:t>
      </w:r>
    </w:p>
    <w:p>
      <w:pPr>
        <w:pStyle w:val="Heading1"/>
        <w:spacing w:after="160" w:before="320"/>
      </w:pPr>
      <w:r>
        <w:t xml:space="preserve">4. Tandas T y T2 — La cuota fantasma y la vista por mes</w:t>
      </w:r>
    </w:p>
    <w:p>
      <w:pPr>
        <w:spacing w:after="160"/>
      </w:pPr>
      <w:r>
        <w:t xml:space="preserve">El día tomó un desvío largo a partir de una observación: "Mitad torta cumple" aparecía confirmada en agosto y "por confirmar" en septiembre, siendo la misma cuota 1 de 1.</w:t>
      </w:r>
    </w:p>
    <w:p>
      <w:pPr>
        <w:pStyle w:val="Heading2"/>
        <w:spacing w:after="120" w:before="240"/>
      </w:pPr>
      <w:r>
        <w:t xml:space="preserve">4.1 La hipótesis equivocada</w:t>
      </w:r>
    </w:p>
    <w:p>
      <w:pPr>
        <w:spacing w:after="160"/>
      </w:pPr>
      <w:r>
        <w:t xml:space="preserve">La primera lectura fue que las cuotas viejas sin confirmar se arrastraban hacia adelante, como la asimetría que R3 había corregido en dispLibre. El diagnóstico la descartó: cada mes se evalúa de forma independiente contra su propia monthKey, sin mirar los anteriores.</w:t>
      </w:r>
    </w:p>
    <w:p>
      <w:pPr>
        <w:spacing w:after="160"/>
      </w:pPr>
      <w:r>
        <w:t xml:space="preserve">La causa real era otra. debtStatusForMonth() extendía la vida de la deuda un mes más allá de su última cuota —la "ventana de gracia"— y en ese mes extra la app pedía confirmar una cuota que no existe. El render la completaba sintetizando "Cuota N de N, saldo $0". El diagnóstico encontró además que la ventana de gracia era un huérfano: se agregó en la Tanda O como colchón del mecanismo "vencida = pagada", y la Tanda P eliminó ese mecanismo sin revisar el colchón.</w:t>
      </w:r>
    </w:p>
    <w:p>
      <w:pPr>
        <w:pStyle w:val="Heading2"/>
        <w:spacing w:after="120" w:before="240"/>
      </w:pPr>
      <w:r>
        <w:t xml:space="preserve">4.2 T — la corrección que sobrecorrigió</w:t>
      </w:r>
    </w:p>
    <w:p>
      <w:pPr>
        <w:spacing w:after="160"/>
      </w:pPr>
      <w:r>
        <w:t xml:space="preserve">Comiteada como 27dadef. Se eliminó la ventana de gracia y se adoptó la regla "en Pagadas mientras esté completa y confirmada" (opción C). El bug era puramente visual: cuotasPendientesDelMes ya filtraba por cuotaInfoForMonth != null, así que la cuota fantasma nunca entró en ningún cálculo.</w:t>
      </w:r>
    </w:p>
    <w:p>
      <w:pPr>
        <w:spacing w:after="160"/>
      </w:pPr>
      <w:r>
        <w:t xml:space="preserve">Pero la opción C estaba mal, y el error fue de la asesoría, no de la ejecución: dejaba las compras terminadas listadas en Pagadas de forma persistente en todos los meses posteriores, reintroduciendo el listado infinito que la Tanda O había marcado como CRÍTICO, solo que mudado de pestaña. Contra el respaldo real, septiembre habría mostrado 6 tarjetas en Pagadas donde correspondían 2.</w:t>
      </w:r>
    </w:p>
    <w:p>
      <w:pPr>
        <w:pStyle w:val="Heading2"/>
        <w:spacing w:after="120" w:before="240"/>
      </w:pPr>
      <w:r>
        <w:t xml:space="preserve">4.3 T2 — la regla correcta</w:t>
      </w:r>
    </w:p>
    <w:p>
      <w:pPr>
        <w:spacing w:after="160"/>
      </w:pPr>
      <w:r>
        <w:t xml:space="preserve">Comiteada como f850c4d. Regla única y sin casos especiales:</w:t>
      </w:r>
    </w:p>
    <w:p>
      <w:pPr>
        <w:spacing w:after="160"/>
      </w:pPr>
      <w:r>
        <w:t xml:space="preserve">Una deuda aparece en la pestaña Cuotas del mes M si y solo si cuotaInfoForMonth(deuda, M) != null. Dentro de ese mes, Pagadas o Activas según isManuallyPaid(M).</w:t>
      </w:r>
    </w:p>
    <w:p>
      <w:pPr>
        <w:spacing w:after="160"/>
      </w:pPr>
      <w:r>
        <w:t xml:space="preserve">No hay tercer estado, no hay mes de gracia, no hay tarjeta de archivo. Una compra terminada se consulta navegando al mes de su cuota. La función final quedó en cuatro líneas.</w:t>
      </w:r>
    </w:p>
    <w:p>
      <w:pPr>
        <w:pStyle w:val="Heading2"/>
        <w:spacing w:after="120" w:before="240"/>
      </w:pPr>
      <w:r>
        <w:t xml:space="preserve">4.4 El diagnóstico contra datos reales</w:t>
      </w:r>
    </w:p>
    <w:p>
      <w:pPr>
        <w:spacing w:after="160"/>
      </w:pPr>
      <w:r>
        <w:t xml:space="preserve">Verificar T con datos sintéticos no bastó: el sintético pasaba y el real no. Con el respaldo JSON cargado se pudo simular la lógica sobre las 14 deudas y comparar contra lo que mostraba la app. La discrepancia reveló que el navegador estaba sirviendo la versión anterior — lo que llevó al hallazgo del punto 6.</w:t>
      </w:r>
    </w:p>
    <w:p>
      <w:pPr>
        <w:spacing w:after="160"/>
      </w:pPr>
      <w:r>
        <w:t xml:space="preserve">El respaldo confirmó también la basura anticipada: "Botas exotica" tiene una marca en manualPaidMonthKeys para septiembre, un mes donde no tiene ninguna cuota. Es una marca huérfana escrita por el mes de gracia del código viejo. Con la regla nueva es inofensiva.</w:t>
      </w:r>
    </w:p>
    <w:p>
      <w:pPr>
        <w:pStyle w:val="Heading1"/>
        <w:spacing w:after="160" w:before="320"/>
      </w:pPr>
      <w:r>
        <w:t xml:space="preserve">5. Tanda V — Descartar insights y montos pegados</w:t>
      </w:r>
    </w:p>
    <w:p>
      <w:pPr>
        <w:spacing w:after="160"/>
      </w:pPr>
      <w:r>
        <w:t xml:space="preserve">Comiteada como bf5004a.</w:t>
      </w:r>
    </w:p>
    <w:p>
      <w:pPr>
        <w:pStyle w:val="ListParagraph"/>
        <w:numPr>
          <w:ilvl w:val="0"/>
          <w:numId w:val="2"/>
        </w:numPr>
        <w:spacing w:after="120"/>
      </w:pPr>
      <w:r>
        <w:t xml:space="preserve">Botón "x" en cada tarjeta de insight. El descarte dura el día: se guarda como fecha, no como timestamp, y el reinicio es a medianoche local.</w:t>
      </w:r>
    </w:p>
    <w:p>
      <w:pPr>
        <w:pStyle w:val="ListParagraph"/>
        <w:numPr>
          <w:ilvl w:val="0"/>
          <w:numId w:val="2"/>
        </w:numPr>
        <w:spacing w:after="120"/>
      </w:pPr>
      <w:r>
        <w:t xml:space="preserve">IDs estables por tipo de insight, no derivados del texto ni del monto, para que un cambio de cifra no reviva un insight descartado.</w:t>
      </w:r>
    </w:p>
    <w:p>
      <w:pPr>
        <w:pStyle w:val="ListParagraph"/>
        <w:numPr>
          <w:ilvl w:val="0"/>
          <w:numId w:val="2"/>
        </w:numPr>
        <w:spacing w:after="120"/>
      </w:pPr>
      <w:r>
        <w:t xml:space="preserve">El bucket es de un solo día y se purga en loadState y migrateBackup, así que no puede crecer.</w:t>
      </w:r>
    </w:p>
    <w:p>
      <w:pPr>
        <w:pStyle w:val="ListParagraph"/>
        <w:numPr>
          <w:ilvl w:val="0"/>
          <w:numId w:val="2"/>
        </w:numPr>
        <w:spacing w:after="120"/>
      </w:pPr>
      <w:r>
        <w:t xml:space="preserve">Montos del bloque de contexto pegados a su etiqueta en vez de empujados al borde derecho.</w:t>
      </w:r>
    </w:p>
    <w:p>
      <w:pPr>
        <w:pStyle w:val="Heading1"/>
        <w:spacing w:after="160" w:before="320"/>
      </w:pPr>
      <w:r>
        <w:t xml:space="preserve">6. Tanda U — El aviso de versión nueva no llegaba a nadie</w:t>
      </w:r>
    </w:p>
    <w:p>
      <w:pPr>
        <w:spacing w:after="160"/>
      </w:pPr>
      <w:r>
        <w:t xml:space="preserve">El hallazgo más importante del día, y el que no estaba en ningún plan. La barra "Versión nueva disponible" no aparecía nunca desde la Tanda Q. Tres causas encadenadas:</w:t>
      </w:r>
    </w:p>
    <w:p>
      <w:pPr>
        <w:pStyle w:val="ListParagraph"/>
        <w:numPr>
          <w:ilvl w:val="0"/>
          <w:numId w:val="2"/>
        </w:numPr>
        <w:spacing w:after="120"/>
      </w:pPr>
      <w:r>
        <w:t xml:space="preserve">sw.js era byte-idéntico en cada deploy: el nombre de caché estaba fijo en "misfinanzas-v1" y nunca se versionaba. El navegador compara sw.js byte a byte, así que concluía que no había nada nuevo. El comentario de cabecera afirmaba que el caché "está versionado" — describía una intención que nunca ocurrió.</w:t>
      </w:r>
    </w:p>
    <w:p>
      <w:pPr>
        <w:pStyle w:val="ListParagraph"/>
        <w:numPr>
          <w:ilvl w:val="0"/>
          <w:numId w:val="2"/>
        </w:numPr>
        <w:spacing w:after="120"/>
      </w:pPr>
      <w:r>
        <w:t xml:space="preserve">La app nunca llamaba a registration.update(). No había ningún chequeo bajo control propio.</w:t>
      </w:r>
    </w:p>
    <w:p>
      <w:pPr>
        <w:pStyle w:val="ListParagraph"/>
        <w:numPr>
          <w:ilvl w:val="0"/>
          <w:numId w:val="2"/>
        </w:numPr>
        <w:spacing w:after="120"/>
      </w:pPr>
      <w:r>
        <w:t xml:space="preserve">index.html se servía cache-first, así que incluso un refresco normal mostraba la versión vieja. La app iba siempre un refresco por detrás.</w:t>
      </w:r>
    </w:p>
    <w:p>
      <w:pPr>
        <w:spacing w:after="160"/>
      </w:pPr>
      <w:r>
        <w:t xml:space="preserve">La corrección se hizo por GitHub Actions y no por hash en el cliente, deliberadamente: la opción del hash pone el mecanismo de actualización dentro de index.html, y si un deploy futuro rompe ese bootstrap se pierde la capacidad de actualizar sin forma de arreglarlo remotamente. Con Actions, si el workflow falla no se publica nada y los usuarios siguen en la versión anterior, que funciona. Fallo ruidoso en vez de silencioso.</w:t>
      </w:r>
    </w:p>
    <w:p>
      <w:pPr>
        <w:spacing w:after="160"/>
      </w:pPr>
      <w:r>
        <w:t xml:space="preserve">La implementación falló al primer intento de forma instructiva: el workflow corría en verde y estampaba el hash correctamente, pero Pages seguía en "Deploy from a branch" y publicaba el archivo crudo del repo. Dos deploys compitiendo por el mismo sitio, y ganaba el que no estampaba. Se resolvió cambiando el Source a GitHub Actions.</w:t>
      </w:r>
    </w:p>
    <w:p>
      <w:pPr>
        <w:spacing w:after="160"/>
      </w:pPr>
      <w:r>
        <w:t xml:space="preserve">Ahora index.html se sirve network-first con la copia precacheada como respaldo offline, reg.update() corre al arrancar y al volver del segundo plano con freno de 30 minutos, y el pie de Configuración muestra el hash del commit para que un tester pueda citarlo al reportar un bug.</w:t>
      </w:r>
    </w:p>
    <w:p>
      <w:pPr>
        <w:pStyle w:val="Heading1"/>
        <w:spacing w:after="160" w:before="320"/>
      </w:pPr>
      <w:r>
        <w:t xml:space="preserve">7. Tanda W — Fuentes y métodos sin romper datos</w:t>
      </w:r>
    </w:p>
    <w:p>
      <w:pPr>
        <w:spacing w:after="160"/>
      </w:pPr>
      <w:r>
        <w:t xml:space="preserve">Comiteada como febca20. El diagnóstico corrigió una suposición importante: la creación de cuotas depende del literal method === "Crédito", no de numCuotas. Borrar "Crédito" no rompía las deudas existentes, pero desactivaba silenciosamente la posibilidad de crear nuevas.</w:t>
      </w:r>
    </w:p>
    <w:p>
      <w:pPr>
        <w:spacing w:after="160"/>
      </w:pPr>
      <w:r>
        <w:t xml:space="preserve">El hallazgo más grave fue otro: un gasto a crédito cuyo método ya no existía, al editarlo, pasaba a "Efectivo" en silencio. Ese fue el único punto de la tanda que protegía datos que ya podían estar mal, y se implementó primero.</w:t>
      </w:r>
    </w:p>
    <w:p>
      <w:pPr>
        <w:pStyle w:val="ListParagraph"/>
        <w:numPr>
          <w:ilvl w:val="0"/>
          <w:numId w:val="2"/>
        </w:numPr>
        <w:spacing w:after="120"/>
      </w:pPr>
      <w:r>
        <w:t xml:space="preserve">Advertencia al borrar solo cuando el valor está en uso, con cifras concretas ("3 ingresos usan Iustax").</w:t>
      </w:r>
    </w:p>
    <w:p>
      <w:pPr>
        <w:pStyle w:val="ListParagraph"/>
        <w:numPr>
          <w:ilvl w:val="0"/>
          <w:numId w:val="2"/>
        </w:numPr>
        <w:spacing w:after="120"/>
      </w:pPr>
      <w:r>
        <w:t xml:space="preserve">Migración en bloque dentro del mismo diálogo: se elige destino y la operación es atómica. Cancelar no deja rastro.</w:t>
      </w:r>
    </w:p>
    <w:p>
      <w:pPr>
        <w:pStyle w:val="ListParagraph"/>
        <w:numPr>
          <w:ilvl w:val="0"/>
          <w:numId w:val="2"/>
        </w:numPr>
        <w:spacing w:after="120"/>
      </w:pPr>
      <w:r>
        <w:t xml:space="preserve">"Crédito" no se puede eliminar, y la fila explica por qué en vez de mostrar un botón muerto.</w:t>
      </w:r>
    </w:p>
    <w:p>
      <w:pPr>
        <w:pStyle w:val="ListParagraph"/>
        <w:numPr>
          <w:ilvl w:val="0"/>
          <w:numId w:val="2"/>
        </w:numPr>
        <w:spacing w:after="120"/>
      </w:pPr>
      <w:r>
        <w:t xml:space="preserve">Renombrar, que es la operación que el usuario quiere la mayoría de las veces: migra todos los registros afectados en la misma operación, sin huérfanos.</w:t>
      </w:r>
    </w:p>
    <w:p>
      <w:pPr>
        <w:pStyle w:val="ListParagraph"/>
        <w:numPr>
          <w:ilvl w:val="0"/>
          <w:numId w:val="2"/>
        </w:numPr>
        <w:spacing w:after="120"/>
      </w:pPr>
      <w:r>
        <w:t xml:space="preserve">Validación al agregar: duplicados detectados por normalización sin tildes ni mayúsculas, y el rechazo ya no es silencioso.</w:t>
      </w:r>
    </w:p>
    <w:p>
      <w:pPr>
        <w:pStyle w:val="ListParagraph"/>
        <w:numPr>
          <w:ilvl w:val="0"/>
          <w:numId w:val="2"/>
        </w:numPr>
        <w:spacing w:after="120"/>
      </w:pPr>
      <w:r>
        <w:t xml:space="preserve">Reconciliación al importar: los métodos y fuentes que usan los registros pero faltan en la lista se recuperan, con aviso al usuario.</w:t>
      </w:r>
    </w:p>
    <w:p>
      <w:pPr>
        <w:spacing w:after="160"/>
      </w:pPr>
      <w:r>
        <w:t xml:space="preserve">Con eso se auditaron los cinco caminos que podían generar huérfanos y se cerró el último. El marcado en rojo de registros afectados quedó descartado con fundamento: la migración obligatoria lo vuelve redundante.</w:t>
      </w:r>
    </w:p>
    <w:p>
      <w:pPr>
        <w:pStyle w:val="Heading1"/>
        <w:spacing w:after="160" w:before="320"/>
      </w:pPr>
      <w:r>
        <w:t xml:space="preserve">8. Tanda X — Sheets apilados y dona sin agrupar</w:t>
      </w:r>
    </w:p>
    <w:p>
      <w:pPr>
        <w:spacing w:after="160"/>
      </w:pPr>
      <w:r>
        <w:t xml:space="preserve">Comiteada como 789fe0d.</w:t>
      </w:r>
    </w:p>
    <w:p>
      <w:pPr>
        <w:pStyle w:val="ListParagraph"/>
        <w:numPr>
          <w:ilvl w:val="0"/>
          <w:numId w:val="2"/>
        </w:numPr>
        <w:spacing w:after="120"/>
      </w:pPr>
      <w:r>
        <w:t xml:space="preserve">El sheet de migración de W se abría detrás de Configuración. El diagnóstico encontró que la app no maneja sheets superpuestos: todos comparten z-index y gana el último del DOM. Ahora openSheet() apila explícitamente y Escape cierra el de más arriba, no el último del marcado.</w:t>
      </w:r>
    </w:p>
    <w:p>
      <w:pPr>
        <w:pStyle w:val="ListParagraph"/>
        <w:numPr>
          <w:ilvl w:val="0"/>
          <w:numId w:val="2"/>
        </w:numPr>
        <w:spacing w:after="120"/>
      </w:pPr>
      <w:r>
        <w:t xml:space="preserve">La dona del Resumen dejó de agrupar en "top 5 + Otros" y muestra todas las categorías con monto. Efecto colateral útil: al no quedar ninguna etiqueta de agrupación sintética, desaparece el choque con "Otros" como fuente real del usuario.</w:t>
      </w:r>
    </w:p>
    <w:p>
      <w:pPr>
        <w:pStyle w:val="ListParagraph"/>
        <w:numPr>
          <w:ilvl w:val="0"/>
          <w:numId w:val="2"/>
        </w:numPr>
        <w:spacing w:after="120"/>
      </w:pPr>
      <w:r>
        <w:t xml:space="preserve">La torta de fuentes en Historial resultó existir desde el Día 4. No era un bug de código sino de descubribilidad.</w:t>
      </w:r>
    </w:p>
    <w:p>
      <w:pPr>
        <w:pStyle w:val="Heading1"/>
        <w:spacing w:after="160" w:before="320"/>
      </w:pPr>
      <w:r>
        <w:t xml:space="preserve">9. Tanda Y — Selector de vista y filtro de método</w:t>
      </w:r>
    </w:p>
    <w:p>
      <w:pPr>
        <w:spacing w:after="160"/>
      </w:pPr>
      <w:r>
        <w:t xml:space="preserve">Comiteada como c54cb8a, más b21b40c para la nota de crédito.</w:t>
      </w:r>
    </w:p>
    <w:p>
      <w:pPr>
        <w:pStyle w:val="ListParagraph"/>
        <w:numPr>
          <w:ilvl w:val="0"/>
          <w:numId w:val="2"/>
        </w:numPr>
        <w:spacing w:after="120"/>
      </w:pPr>
      <w:r>
        <w:t xml:space="preserve">Los botones cicladores de Resumen e Historial pasaron a control segmentado con las opciones visibles y la activa iluminada. El ciclador mostraba el nombre de la vista actual, así que se leía como etiqueta: esa era también la razón de que la torta de fuentes pareciera no existir.</w:t>
      </w:r>
    </w:p>
    <w:p>
      <w:pPr>
        <w:pStyle w:val="ListParagraph"/>
        <w:numPr>
          <w:ilvl w:val="0"/>
          <w:numId w:val="2"/>
        </w:numPr>
        <w:spacing w:after="120"/>
      </w:pPr>
      <w:r>
        <w:t xml:space="preserve">El filtro de método quedó con predicados disjuntos alineados al badge: Cuotas son las filas virtuales (meses donde vence una cuota); Crédito son las filas de origen (el mes de la compra). Antes ambos devolvían los mismos 14 resultados en agosto; ahora dan 6 y 8.</w:t>
      </w:r>
    </w:p>
    <w:p>
      <w:pPr>
        <w:pStyle w:val="ListParagraph"/>
        <w:numPr>
          <w:ilvl w:val="0"/>
          <w:numId w:val="2"/>
        </w:numPr>
        <w:spacing w:after="120"/>
      </w:pPr>
      <w:r>
        <w:t xml:space="preserve">Bajo el filtro Crédito el encabezado mostraba "TOTAL GASTO $0" sobre una lista con montos visibles. El cálculo era correcto —una compra a crédito no es desembolso del mes— pero la etiqueta mentía. Ahora muestra ambas cifras: "$0 de impacto este mes · $603.325 comprado a crédito".</w:t>
      </w:r>
    </w:p>
    <w:p>
      <w:pPr>
        <w:pStyle w:val="Heading1"/>
        <w:spacing w:after="160" w:before="320"/>
      </w:pPr>
      <w:r>
        <w:t xml:space="preserve">10. Método: lo que volvió a funcionar</w:t>
      </w:r>
    </w:p>
    <w:p>
      <w:pPr>
        <w:pStyle w:val="ListParagraph"/>
        <w:numPr>
          <w:ilvl w:val="0"/>
          <w:numId w:val="2"/>
        </w:numPr>
        <w:spacing w:after="120"/>
      </w:pPr>
      <w:r>
        <w:t xml:space="preserve">Diagnóstico previo obligatorio antes de tocar cálculo. Tres veces la hipótesis inicial resultó equivocada: el arrastre de cuotas que no existía, la dependencia de "Crédito" que sí era del literal, y la torta de fuentes que ya estaba construida.</w:t>
      </w:r>
    </w:p>
    <w:p>
      <w:pPr>
        <w:pStyle w:val="ListParagraph"/>
        <w:numPr>
          <w:ilvl w:val="0"/>
          <w:numId w:val="2"/>
        </w:numPr>
        <w:spacing w:after="120"/>
      </w:pPr>
      <w:r>
        <w:t xml:space="preserve">Verificar contra el respaldo real y no solo con datos sintéticos. La discrepancia entre ambos fue lo que destapó el problema del Service Worker.</w:t>
      </w:r>
    </w:p>
    <w:p>
      <w:pPr>
        <w:pStyle w:val="ListParagraph"/>
        <w:numPr>
          <w:ilvl w:val="0"/>
          <w:numId w:val="2"/>
        </w:numPr>
        <w:spacing w:after="120"/>
      </w:pPr>
      <w:r>
        <w:t xml:space="preserve">Preferir el fallo ruidoso al silencioso. Se eligió Actions sobre el hash en cliente por eso, y aun así el primer intento falló en silencio: el workflow verde publicando otro archivo.</w:t>
      </w:r>
    </w:p>
    <w:p>
      <w:pPr>
        <w:pStyle w:val="ListParagraph"/>
        <w:numPr>
          <w:ilvl w:val="0"/>
          <w:numId w:val="2"/>
        </w:numPr>
        <w:spacing w:after="120"/>
      </w:pPr>
      <w:r>
        <w:t xml:space="preserve">Exigir que el resumen liste las cifras que se movieron. Dos veces se afirmó "ningún número cambió" cuando el objetivo de la tanda era precisamente mover uno.</w:t>
      </w:r>
    </w:p>
    <w:p>
      <w:pPr>
        <w:pStyle w:val="Heading1"/>
        <w:spacing w:after="160" w:before="320"/>
      </w:pPr>
      <w:r>
        <w:t xml:space="preserve">11. Pendiente al cierre</w:t>
      </w:r>
    </w:p>
    <w:p>
      <w:pPr>
        <w:spacing w:after="160"/>
      </w:pPr>
      <w:r>
        <w:t xml:space="preserve">Anotado sin tanda asignada:</w:t>
      </w:r>
    </w:p>
    <w:p>
      <w:pPr>
        <w:pStyle w:val="ListParagraph"/>
        <w:numPr>
          <w:ilvl w:val="0"/>
          <w:numId w:val="2"/>
        </w:numPr>
        <w:spacing w:after="120"/>
      </w:pPr>
      <w:r>
        <w:t xml:space="preserve">El desajuste del total en $0 también puede darse sin filtro, en un mes con compras a crédito nuevas y sin cuotas venciendo. Raro, pero vivo. Bajo "Todos" las filas de origen están mezcladas, así que no aplica la misma solución.</w:t>
      </w:r>
    </w:p>
    <w:p>
      <w:pPr>
        <w:pStyle w:val="ListParagraph"/>
        <w:numPr>
          <w:ilvl w:val="0"/>
          <w:numId w:val="2"/>
        </w:numPr>
        <w:spacing w:after="120"/>
      </w:pPr>
      <w:r>
        <w:t xml:space="preserve">Metas conserva el botón ciclador viejo: dos patrones distintos conviviendo en la app.</w:t>
      </w:r>
    </w:p>
    <w:p>
      <w:pPr>
        <w:pStyle w:val="ListParagraph"/>
        <w:numPr>
          <w:ilvl w:val="0"/>
          <w:numId w:val="2"/>
        </w:numPr>
        <w:spacing w:after="120"/>
      </w:pPr>
      <w:r>
        <w:t xml:space="preserve">loadState conserva manualPaidMonthKeys de meses 1..N+1. Las marcas del mes N+1 quedan inertes: basura acumulada en el respaldo, sin efecto hoy.</w:t>
      </w:r>
    </w:p>
    <w:p>
      <w:pPr>
        <w:pStyle w:val="ListParagraph"/>
        <w:numPr>
          <w:ilvl w:val="0"/>
          <w:numId w:val="2"/>
        </w:numPr>
        <w:spacing w:after="120"/>
      </w:pPr>
      <w:r>
        <w:t xml:space="preserve">Configuración tiene nueve secciones colapsables seguidas. Se acordó agruparlas en tres bloques —Tus datos, Apariencia, Datos y seguridad— pero no se alcanzó a ejecutar.</w:t>
      </w:r>
    </w:p>
    <w:p>
      <w:pPr>
        <w:pStyle w:val="ListParagraph"/>
        <w:numPr>
          <w:ilvl w:val="0"/>
          <w:numId w:val="2"/>
        </w:numPr>
        <w:spacing w:after="120"/>
      </w:pPr>
      <w:r>
        <w:t xml:space="preserve">Los valores por defecto de fuentes y métodos están personalizados para una persona concreta. Solo afectan a instalaciones nuevas, así que van con el onboarding.</w:t>
      </w:r>
    </w:p>
    <w:p>
      <w:pPr>
        <w:pStyle w:val="ListParagraph"/>
        <w:numPr>
          <w:ilvl w:val="0"/>
          <w:numId w:val="2"/>
        </w:numPr>
        <w:spacing w:after="120"/>
      </w:pPr>
      <w:r>
        <w:t xml:space="preserve">Renombrar "Crédito" requeriría una bandera metodoCuotas en el modelo. Descartado por ahora; es tanda de modelo con migración.</w:t>
      </w:r>
    </w:p>
    <w:p>
      <w:pPr>
        <w:pStyle w:val="ListParagraph"/>
        <w:numPr>
          <w:ilvl w:val="0"/>
          <w:numId w:val="2"/>
        </w:numPr>
        <w:spacing w:after="120"/>
      </w:pPr>
      <w:r>
        <w:t xml:space="preserve">Categorías tiene el mismo bug de borrado silencioso que se corrigió en W para métodos y fuentes. Queda pendiente aplicarle el mismo mecanismo.</w:t>
      </w:r>
    </w:p>
    <w:p>
      <w:pPr>
        <w:pStyle w:val="Heading1"/>
        <w:spacing w:after="160" w:before="320"/>
      </w:pPr>
      <w:r>
        <w:t xml:space="preserve">12. Para el Día 10</w:t>
      </w:r>
    </w:p>
    <w:p>
      <w:pPr>
        <w:spacing w:after="160"/>
      </w:pPr>
      <w:r>
        <w:t xml:space="preserve">Ninguna de las cuatro piezas planificadas para el Día 9 se construyó. Siguen siendo el trabajo pendiente, y ahora sobre una base bastante más sólida:</w:t>
      </w:r>
    </w:p>
    <w:p>
      <w:pPr>
        <w:pStyle w:val="ListParagraph"/>
        <w:numPr>
          <w:ilvl w:val="0"/>
          <w:numId w:val="2"/>
        </w:numPr>
        <w:spacing w:after="120"/>
      </w:pPr>
      <w:r>
        <w:t xml:space="preserve">Motor de consejos determinístico para Insights: cada consejo como número + acción + plazo, con el guardarraíl de datos incompletos como regla de prioridad máxima. Parte de esto ya existe desde R4 y desde el aviso de cuota terminada de S.</w:t>
      </w:r>
    </w:p>
    <w:p>
      <w:pPr>
        <w:pStyle w:val="ListParagraph"/>
        <w:numPr>
          <w:ilvl w:val="0"/>
          <w:numId w:val="2"/>
        </w:numPr>
        <w:spacing w:after="120"/>
      </w:pPr>
      <w:r>
        <w:t xml:space="preserve">Onboarding de 90 segundos: ingreso mensual → gastos fijos típicos → cuotas activas → una meta. Es la mejora con la evidencia más dura detrás y la única pieza de peso que lleva dos días sin construirse. Incluye decidir los valores por defecto de fuentes y métodos.</w:t>
      </w:r>
    </w:p>
    <w:p>
      <w:pPr>
        <w:pStyle w:val="ListParagraph"/>
        <w:numPr>
          <w:ilvl w:val="0"/>
          <w:numId w:val="2"/>
        </w:numPr>
        <w:spacing w:after="120"/>
      </w:pPr>
      <w:r>
        <w:t xml:space="preserve">Cierre de mes con la pregunta de cuotas sin confirmar, que responde la decisión de diseño abierta desde el Día 8: qué significa una cuota vencida que el usuario nunca confirmó.</w:t>
      </w:r>
    </w:p>
    <w:p>
      <w:pPr>
        <w:pStyle w:val="ListParagraph"/>
        <w:numPr>
          <w:ilvl w:val="0"/>
          <w:numId w:val="2"/>
        </w:numPr>
        <w:spacing w:after="120"/>
      </w:pPr>
      <w:r>
        <w:t xml:space="preserve">Aviso de cuotas vencidas sin confirmar y acción "No la pagué este mes". Separado de T porque es un problema distinto: con la regla de T2, una cuota real sin confirmar queda en Activas de su propio mes indefinidamente. Las preguntas abiertas son si aplazar reabre el mes cerrado, si la cuota aplazada se suma al mes siguiente o corre el calendario, y si hay límite de aplazamientos. manualUnpaidMonthKeys ya existe en el modelo, inerte desde la Tanda P, y es el campo natural para esto.</w:t>
      </w:r>
    </w:p>
    <w:p>
      <w:pPr>
        <w:spacing w:after="160"/>
      </w:pPr>
      <w:r>
        <w:t xml:space="preserve">Y sigue sin iniciarse la logística pendiente desde el Día 7: reclutamiento de testers externos, link de pago, y el nombre definitivo del producto, que bloquea dominio e identidad desde el 26 de agosto. El arreglo del Service Worker era prerrequisito para lo primero: sin él, cada corrección que se desplegara no habría llegado a los testers.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2026-09-08T01:32:57.440Z</dcterms:created>
  <dcterms:modified xsi:type="dcterms:W3CDTF">2026-09-08T01:32:57.451Z</dcterms:modified>
</cp:coreProperties>
</file>

<file path=docProps/custom.xml><?xml version="1.0" encoding="utf-8"?>
<Properties xmlns="http://schemas.openxmlformats.org/officeDocument/2006/custom-properties" xmlns:vt="http://schemas.openxmlformats.org/officeDocument/2006/docPropsVTypes"/>
</file>