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MisFinanzas (Telora)</w:t>
      </w:r>
    </w:p>
    <w:p>
      <w:pPr>
        <w:spacing w:after="300"/>
      </w:pPr>
      <w:r>
        <w:rPr>
          <w:i/>
          <w:iCs/>
        </w:rPr>
        <w:t xml:space="preserve">Resumen del día — 25 de septiembre de 2026 (Día 17)</w:t>
      </w:r>
    </w:p>
    <w:p>
      <w:pPr>
        <w:pStyle w:val="Heading1"/>
        <w:spacing w:after="150" w:before="300"/>
      </w:pPr>
      <w:r>
        <w:t xml:space="preserve">1. Cierre del bloqueante del Día 16 — candado de dispositivo</w:t>
      </w:r>
    </w:p>
    <w:p>
      <w:pPr>
        <w:spacing w:after="200"/>
      </w:pPr>
      <w:r>
        <w:rPr>
          <w:b/>
          <w:bCs/>
        </w:rPr>
        <w:t xml:space="preserve">Diseño — </w:t>
      </w:r>
      <w:r>
        <w:t xml:space="preserve">entrevista estructurada previa (tres decisiones de producto: el aviso de conflicto combina diálogo bloqueante la primera vez y toast liviano después; la confirmación se pide siempre aunque el estado local esté vacío; el diálogo de confirmación es descartable). Se implementaron los cuatro casos en intentarSubidaInicial() — confirmar (candado vacío), ya confirmado (mismo dueño, sube directo), conflicto (candado de otra cuenta: no sube y NO registra el dispositivo, para que el aviso no se silencie en la próxima carga) y nube no vacía (sin cambios).</w:t>
      </w:r>
    </w:p>
    <w:p>
      <w:pPr>
        <w:spacing w:after="200"/>
      </w:pPr>
      <w:r>
        <w:rPr>
          <w:b/>
          <w:bCs/>
        </w:rPr>
        <w:t xml:space="preserve">Hallazgo en pruebas, corregido — </w:t>
      </w:r>
      <w:r>
        <w:t xml:space="preserve">el sheet de confirmación se apilaba sobre el onboarding obligatorio (data-nodismiss) en el escenario de datos locales vacíos, único momento en que ambos coinciden. Se agregó abrirCuandoLibre(), que aplaza la apertura mientras haya un sheet obligatorio abierto, con tope de ~60s. Segundo hallazgo: la marca de conflicto se escribía antes de mostrar el diálogo, no al mostrarlo — si la carga se interrumpía durante la espera, la próxima vez se saltaba el diálogo y mostraba solo el toast. Corregido moviendo la marca dentro del callback.</w:t>
      </w:r>
    </w:p>
    <w:p>
      <w:pPr>
        <w:spacing w:after="200"/>
      </w:pPr>
      <w:r>
        <w:rPr>
          <w:b/>
          <w:bCs/>
        </w:rPr>
        <w:t xml:space="preserve">Verificación — </w:t>
      </w:r>
      <w:r>
        <w:t xml:space="preserve">cliente Supabase simulado para los 4 casos y los 3 descartes (fondo/Escape/"Ahora no"), y luego contra Supabase real con dos cuentas de prueba distintas (una para el caso A/B, otra para el caso C), confirmando en el Table Editor que el caso de conflicto nunca deja fila en config_dispositivo.</w:t>
      </w:r>
    </w:p>
    <w:p>
      <w:pPr>
        <w:spacing w:after="200"/>
      </w:pPr>
      <w:r>
        <w:t xml:space="preserve">Commit d0c905f, pusheado y confirmado en producción (telora.cl sirve el código con el candado).</w:t>
      </w:r>
    </w:p>
    <w:p>
      <w:pPr>
        <w:pStyle w:val="Heading1"/>
        <w:spacing w:after="150" w:before="300"/>
      </w:pPr>
      <w:r>
        <w:t xml:space="preserve">2. Renombrar categorías de gasto</w:t>
      </w:r>
    </w:p>
    <w:p>
      <w:pPr>
        <w:spacing w:after="200"/>
      </w:pPr>
      <w:r>
        <w:rPr>
          <w:b/>
          <w:bCs/>
        </w:rPr>
        <w:t xml:space="preserve">Motivación — </w:t>
      </w:r>
      <w:r>
        <w:t xml:space="preserve">editar una categoría (sheetCatEditar) permitía cambiar ícono, color y tope, pero no el nombre; la única forma de "renombrar" era borrar y crear una nueva, desordenando los gastos ya registrados. Métodos y fuentes ya tenían esta función (iniciarRenombreConfig); el propio código traía el comentario // categorías: tanda aparte.</w:t>
      </w:r>
    </w:p>
    <w:p>
      <w:pPr>
        <w:spacing w:after="200"/>
      </w:pPr>
      <w:r>
        <w:rPr>
          <w:b/>
          <w:bCs/>
        </w:rPr>
        <w:t xml:space="preserve">Implementación — </w:t>
      </w:r>
      <w:r>
        <w:t xml:space="preserve">campo de nombre agregado dentro del mismo sheetCatEditar, con validación de duplicado (normNombre) y migración de las tres claves por categoría (categoriaIconos, categoriaTopes, categoriaColores) además de state.expenses y state.debts (las compras a cuotas también tienen category propio). Toast final con conteo separado por colección, omitiendo la que esté en 0.</w:t>
      </w:r>
    </w:p>
    <w:p>
      <w:pPr>
        <w:spacing w:after="200"/>
      </w:pPr>
      <w:r>
        <w:rPr>
          <w:b/>
          <w:bCs/>
        </w:rPr>
        <w:t xml:space="preserve">Hallazgo verificado en pruebas — </w:t>
      </w:r>
      <w:r>
        <w:t xml:space="preserve">si se renombra sin cerrar el sheet y luego se cambia ícono/color, el nuevo valor debía guardarse bajo el nombre ya renombrado, no el original — confirmado con clic real, no solo por lectura de código.</w:t>
      </w:r>
    </w:p>
    <w:p>
      <w:pPr>
        <w:spacing w:after="200"/>
      </w:pPr>
      <w:r>
        <w:t xml:space="preserve">Commit 76bf294, pusheado y en producción.</w:t>
      </w:r>
    </w:p>
    <w:p>
      <w:pPr>
        <w:pStyle w:val="Heading1"/>
        <w:spacing w:after="150" w:before="300"/>
      </w:pPr>
      <w:r>
        <w:t xml:space="preserve">3. Hallazgo propio: el borrado de categorías no migraba deudas</w:t>
      </w:r>
    </w:p>
    <w:p>
      <w:pPr>
        <w:spacing w:after="200"/>
      </w:pPr>
      <w:r>
        <w:rPr>
          <w:b/>
          <w:bCs/>
        </w:rPr>
        <w:t xml:space="preserve">Descubierto al revisar el código real para la tanda anterior — </w:t>
      </w:r>
      <w:r>
        <w:t xml:space="preserve">contarUso('categorias') solo contaba state.expenses, y el handler de borrado (cfgMigrarConfirm) solo migraba esa misma colección. Como state.debts[].category sí se usa en producción (openCategoriaDetalle filtra ambas colecciones, y se confirmó creando una compra a cuotas real), una categoría usada solo en deudas se borraba en silencio (rama n===0) sin ofrecer migración, dejando la deuda con una categoría inexistente.</w:t>
      </w:r>
    </w:p>
    <w:p>
      <w:pPr>
        <w:spacing w:after="200"/>
      </w:pPr>
      <w:r>
        <w:rPr>
          <w:b/>
          <w:bCs/>
        </w:rPr>
        <w:t xml:space="preserve">Corrección — </w:t>
      </w:r>
      <w:r>
        <w:t xml:space="preserve">contarUso() suma ambas colecciones para categorías; el texto, el botón de confirmar y el toast final cuentan gastos y deudas por separado, mismo patrón de pluralización que el rename. Métodos y fuentes quedaron sin cambios.</w:t>
      </w:r>
    </w:p>
    <w:p>
      <w:pPr>
        <w:spacing w:after="200"/>
      </w:pPr>
      <w:r>
        <w:rPr>
          <w:b/>
          <w:bCs/>
        </w:rPr>
        <w:t xml:space="preserve">Verificación — </w:t>
      </w:r>
      <w:r>
        <w:t xml:space="preserve">cinco escenarios con datos reales (solo deuda, combinado, solo gastos, métodos/fuentes sin cambios, borrado directo + Deshacer en categoría sin uso), todos con evidencia antes/después.</w:t>
      </w:r>
    </w:p>
    <w:p>
      <w:pPr>
        <w:spacing w:after="200"/>
      </w:pPr>
      <w:r>
        <w:t xml:space="preserve">Commit 0823d6a, pusheado y en producción.</w:t>
      </w:r>
    </w:p>
    <w:p>
      <w:pPr>
        <w:pStyle w:val="Heading1"/>
        <w:spacing w:after="150" w:before="300"/>
      </w:pPr>
      <w:r>
        <w:t xml:space="preserve">4. Corrección de esquema: columnas booleanas en config_dispositivo</w:t>
      </w:r>
    </w:p>
    <w:p>
      <w:pPr>
        <w:spacing w:after="200"/>
      </w:pPr>
      <w:r>
        <w:rPr>
          <w:b/>
          <w:bCs/>
        </w:rPr>
        <w:t xml:space="preserve">Hallazgo del Día 16 — </w:t>
      </w:r>
      <w:r>
        <w:t xml:space="preserve">historial_detalle y resumen_detalle son columnas text en Supabase; el cliente JS ya enviaba booleanos reales (filaConfigDispositivo usa !!c.historialDetalle), pero Postgres los guardaba como el string "false", truthy en JavaScript.</w:t>
      </w:r>
    </w:p>
    <w:p>
      <w:pPr>
        <w:spacing w:after="200"/>
      </w:pPr>
      <w:r>
        <w:rPr>
          <w:b/>
          <w:bCs/>
        </w:rPr>
        <w:t xml:space="preserve">Corrección — </w:t>
      </w:r>
      <w:r>
        <w:t xml:space="preserve">ALTER COLUMN ... TYPE boolean USING (columna::boolean) en las dos columnas, ejecutado directamente en el SQL Editor. Sin cambios en index.html: el problema era puramente de esquema.</w:t>
      </w:r>
    </w:p>
    <w:p>
      <w:pPr>
        <w:spacing w:after="200"/>
      </w:pPr>
      <w:r>
        <w:t xml:space="preserve">Verificado con information_schema.columns antes y después del cambio.</w:t>
      </w:r>
    </w:p>
    <w:p>
      <w:pPr>
        <w:pStyle w:val="Heading1"/>
        <w:spacing w:after="150" w:before="300"/>
      </w:pPr>
      <w:r>
        <w:t xml:space="preserve">5. Tanda 3 (Etapa 2) — lectura inicial desde la nube + Realtime en modo observación</w:t>
      </w:r>
    </w:p>
    <w:p>
      <w:pPr>
        <w:spacing w:after="200"/>
      </w:pPr>
      <w:r>
        <w:rPr>
          <w:b/>
          <w:bCs/>
        </w:rPr>
        <w:t xml:space="preserve">Diseño acordado antes de construir — </w:t>
      </w:r>
      <w:r>
        <w:t xml:space="preserve">tres decisiones explícitas: (1) el pull completo entra en el alcance de esta tanda solo cuando el dispositivo local está vacío y la nube ya tiene datos (copia limpia, no fusión — la pantalla de fusión para dispositivo con datos propios queda para la Tanda 5); (2) mientras no exista detección de choque (Tanda 4), el canal de Realtime queda suscrito pero en modo observación puro, sin tocar state; (3) coordinación multi-pestaña con la Web Locks API (navigator.locks), no BroadcastChannel.</w:t>
      </w:r>
    </w:p>
    <w:p>
      <w:pPr>
        <w:spacing w:after="200"/>
      </w:pPr>
      <w:r>
        <w:rPr>
          <w:b/>
          <w:bCs/>
        </w:rPr>
        <w:t xml:space="preserve">Funciones inversas — </w:t>
      </w:r>
      <w:r>
        <w:t xml:space="preserve">localCuenta, localTransfer, localExpense, localIncome, localDebt, localGoal (con sus aportes) y localConfigCompartida: el camino inverso exacto de cada filaX existente. Verificadas con un test de ida y vuelta contra un fixture con todos los campos opcionales.</w:t>
      </w:r>
    </w:p>
    <w:p>
      <w:pPr>
        <w:spacing w:after="200"/>
      </w:pPr>
      <w:r>
        <w:rPr>
          <w:b/>
          <w:bCs/>
        </w:rPr>
        <w:t xml:space="preserve">Pull inicial — </w:t>
      </w:r>
      <w:r>
        <w:t xml:space="preserve">traerDatosIniciales(), detrás de la bandera PULL_INICIAL_ACTIVO = false. Se dejó apagada a propósito por dos prerrequisitos documentados en el propio código: (a) faltan las columnas fixedEndMonthKey/goalEndMonthKey en la nube — sin ellas, un pull real haría reaparecer gastos fijos y metas ya cerrados; (b) el pull todavía no está integrado con el candado de dispositivo (no lo verifica antes de traer datos ni lo marca después), lo que podría repetir el incidente del Día 16 por una puerta distinta si se activara sin esa integración.</w:t>
      </w:r>
    </w:p>
    <w:p>
      <w:pPr>
        <w:spacing w:after="200"/>
      </w:pPr>
      <w:r>
        <w:rPr>
          <w:b/>
          <w:bCs/>
        </w:rPr>
        <w:t xml:space="preserve">Realtime — </w:t>
      </w:r>
      <w:r>
        <w:t xml:space="preserve">un canal por user_id sobre las 9 tablas; cada evento se registra en consola y en un buffer (realtimeEventos, tope 200) sin tocar state. Se activa cuando la relación con la nube ya quedó resuelta (tras subida exitosa, en el caso D, o si el dispositivo ya estaba registrado); no se activa en el caso de conflicto. Coordinado con Web Locks: solo una pestaña por origen mantiene el canal activo, con relevo automático al cerrar sesión o cerrar la pestaña líder.</w:t>
      </w:r>
    </w:p>
    <w:p>
      <w:pPr>
        <w:spacing w:after="200"/>
      </w:pPr>
      <w:r>
        <w:rPr>
          <w:b/>
          <w:bCs/>
        </w:rPr>
        <w:t xml:space="preserve">Verificación — </w:t>
      </w:r>
      <w:r>
        <w:t xml:space="preserve">pull contra una nube simulada con 1203 gastos paginados, comparación registro por registro sin diferencias; pull con fallo simulado en una tabla, confirmando que el estado local queda intacto y la marca telora_pull_pendiente permite reintentar; Web Locks con dos pestañas reales y con el canal Realtime real de Supabase, incluido cierre de sesión y cierre de pestaña. Finalmente, contra producción real: eventos INSERT, UPDATE y DELETE de expenses generados a mano en el Table Editor, recibidos correctamente por la pestaña líder sin alterar su UI — incluida la propia cuenta real (databycarlos01) en telora.cl.</w:t>
      </w:r>
    </w:p>
    <w:p>
      <w:pPr>
        <w:spacing w:after="200"/>
      </w:pPr>
      <w:r>
        <w:t xml:space="preserve">Commit 67e9a73, pusheado y confirmado en producción.</w:t>
      </w:r>
    </w:p>
    <w:p>
      <w:pPr>
        <w:pStyle w:val="Heading1"/>
        <w:spacing w:after="150" w:before="300"/>
      </w:pPr>
      <w:r>
        <w:t xml:space="preserve">6. Corrección de esquema descubierta en el camino: REPLICA IDENTITY</w:t>
      </w:r>
    </w:p>
    <w:p>
      <w:pPr>
        <w:spacing w:after="200"/>
      </w:pPr>
      <w:r>
        <w:rPr>
          <w:b/>
          <w:bCs/>
        </w:rPr>
        <w:t xml:space="preserve">Hallazgo — </w:t>
      </w:r>
      <w:r>
        <w:t xml:space="preserve">las 9 tablas tenían REPLICA IDENTITY DEFAULT. Con RLS activo y el filtro de Realtime por user_id=eq.X, un evento DELETE en ese modo solo trae la clave primaria de la fila — sin user_id, el filtro del canal nunca deja pasar el evento. INSERT y UPDATE no se ven afectados, porque ahí la fila completa siempre viaja.</w:t>
      </w:r>
    </w:p>
    <w:p>
      <w:pPr>
        <w:spacing w:after="200"/>
      </w:pPr>
      <w:r>
        <w:rPr>
          <w:b/>
          <w:bCs/>
        </w:rPr>
        <w:t xml:space="preserve">Corrección — </w:t>
      </w:r>
      <w:r>
        <w:t xml:space="preserve">ALTER TABLE ... REPLICA IDENTITY FULL en las 9 tablas. Confirmado con información de pg_class antes (relreplident = 'd') y después ('f'), y verificado con un DELETE real llegando correctamente al canal tras la corrección.</w:t>
      </w:r>
    </w:p>
    <w:p>
      <w:pPr>
        <w:pStyle w:val="Heading1"/>
        <w:spacing w:after="150" w:before="300"/>
      </w:pPr>
      <w:r>
        <w:t xml:space="preserve">7. Incidente menor durante las pruebas: candado cruzado por device_id compartido</w:t>
      </w:r>
    </w:p>
    <w:p>
      <w:pPr>
        <w:spacing w:after="200"/>
      </w:pPr>
      <w:r>
        <w:rPr>
          <w:b/>
          <w:bCs/>
        </w:rPr>
        <w:t xml:space="preserve">Qué pasó — </w:t>
      </w:r>
      <w:r>
        <w:t xml:space="preserve">una prueba con la cuenta carlos.alvarez@pregrado.uoh.cl se hizo por error en el perfil normal de Chrome (no incógnito) — el mismo perfil donde vive la sesión real de databycarlos01. Como telora_device_id es por perfil de navegador, no por cuenta, ambas cuentas terminaron compartiendo el mismo device_id. El candado, ya confirmado en ese perfil, disparó dos subidas en silencio (caso B) cada vez que esa pestaña volvía a detectar sesión.</w:t>
      </w:r>
    </w:p>
    <w:p>
      <w:pPr>
        <w:spacing w:after="200"/>
      </w:pPr>
      <w:r>
        <w:rPr>
          <w:b/>
          <w:bCs/>
        </w:rPr>
        <w:t xml:space="preserve">Alcance real, confirmado con evidencia — </w:t>
      </w:r>
      <w:r>
        <w:t xml:space="preserve">en ningún momento se subió ningún dato financiero real (gastos, ingresos, deudas, metas, transferencias en 0 en ambos intentos). Solo quedó duplicada la fila por defecto de cuentas_financieras (la cuenta "Principal" sin movimientos), limpiada con DELETE puntuales en Supabase.</w:t>
      </w:r>
    </w:p>
    <w:p>
      <w:pPr>
        <w:spacing w:after="200"/>
      </w:pPr>
      <w:r>
        <w:rPr>
          <w:b/>
          <w:bCs/>
        </w:rPr>
        <w:t xml:space="preserve">Cierre de la causa raíz — </w:t>
      </w:r>
      <w:r>
        <w:t xml:space="preserve">localStorage.clear() en el perfil normal de Chrome para localhost:8732, eliminando el candado cruzado. Regla fijada para el resto del proyecto: ninguna prueba con cuentas de Google se vuelve a hacer en el perfil normal de Chrome — solo en ventanas de incógnito nuevas.</w:t>
      </w:r>
    </w:p>
    <w:p>
      <w:pPr>
        <w:pStyle w:val="Heading1"/>
        <w:spacing w:after="150" w:before="300"/>
      </w:pPr>
      <w:r>
        <w:t xml:space="preserve">Anexo — Para continuar el Día 18</w:t>
      </w:r>
    </w:p>
    <w:p>
      <w:pPr>
        <w:pStyle w:val="Heading2"/>
        <w:spacing w:after="120" w:before="240"/>
      </w:pPr>
      <w:r>
        <w:t xml:space="preserve">A. Pendiente, no bloqueante</w:t>
      </w:r>
    </w:p>
    <w:p>
      <w:pPr>
        <w:pStyle w:val="ListParagraph"/>
        <w:numPr>
          <w:ilvl w:val="0"/>
          <w:numId w:val="1"/>
        </w:numPr>
        <w:spacing w:after="100"/>
      </w:pPr>
      <w:r>
        <w:rPr>
          <w:b w:val="false"/>
          <w:bCs w:val="false"/>
          <w:i w:val="false"/>
          <w:iCs w:val="false"/>
        </w:rPr>
        <w:t xml:space="preserve">Diseñar la Tanda 4 (detección de choque en un registro) — siguiente paso del plan de Etapa 2. Necesita su propia sesión de entrevista estructurada antes de escribir cualquier prompt, mismo criterio que se usó para la Tanda 3.</w:t>
      </w:r>
    </w:p>
    <w:p>
      <w:pPr>
        <w:pStyle w:val="ListParagraph"/>
        <w:numPr>
          <w:ilvl w:val="0"/>
          <w:numId w:val="1"/>
        </w:numPr>
        <w:spacing w:after="100"/>
      </w:pPr>
      <w:r>
        <w:rPr>
          <w:b w:val="false"/>
          <w:bCs w:val="false"/>
          <w:i w:val="false"/>
          <w:iCs w:val="false"/>
        </w:rPr>
        <w:t xml:space="preserve">Activar PULL_INICIAL_ACTIVO cuando se cumplan sus dos prerrequisitos documentados en el código: agregar fixedEndMonthKey/goalEndMonthKey a la nube (y completarlos en lo ya subido en la Tanda 2), e integrar el pull con el candado de dispositivo (pedir confirmación, respetar conflicto, marcar el candado tras un pull exitoso).</w:t>
      </w:r>
    </w:p>
    <w:p>
      <w:pPr>
        <w:pStyle w:val="ListParagraph"/>
        <w:numPr>
          <w:ilvl w:val="0"/>
          <w:numId w:val="1"/>
        </w:numPr>
        <w:spacing w:after="100"/>
      </w:pPr>
      <w:r>
        <w:rPr>
          <w:b w:val="false"/>
          <w:bCs w:val="false"/>
          <w:i w:val="false"/>
          <w:iCs w:val="false"/>
        </w:rPr>
        <w:t xml:space="preserve">El borrado de categorías tiene el mismo hallazgo de fondo que motivó la sección 3, pero en el resto de las listas de Configuración no auditadas hoy — no se revisó si métodos/fuentes tienen alguna colección similar sin cubrir (se confirmó que debts no tiene campo method, así que métodos queda descartado; no se revisó a fondo fuentes).</w:t>
      </w:r>
    </w:p>
    <w:p>
      <w:pPr>
        <w:pStyle w:val="ListParagraph"/>
        <w:numPr>
          <w:ilvl w:val="0"/>
          <w:numId w:val="1"/>
        </w:numPr>
        <w:spacing w:after="100"/>
      </w:pPr>
      <w:r>
        <w:rPr>
          <w:b w:val="false"/>
          <w:bCs w:val="false"/>
          <w:i w:val="false"/>
          <w:iCs w:val="false"/>
        </w:rPr>
        <w:t xml:space="preserve">Rotar la clave service_role de Supabase — declinado conscientemente hoy (no está referenciada en index.html, así que no tiene costo técnico); sigue anotado desde el Día 16.</w:t>
      </w:r>
    </w:p>
    <w:p>
      <w:pPr>
        <w:pStyle w:val="ListParagraph"/>
        <w:numPr>
          <w:ilvl w:val="0"/>
          <w:numId w:val="1"/>
        </w:numPr>
        <w:spacing w:after="100"/>
      </w:pPr>
      <w:r>
        <w:rPr>
          <w:b w:val="false"/>
          <w:bCs w:val="false"/>
          <w:i w:val="false"/>
          <w:iCs w:val="false"/>
        </w:rPr>
        <w:t xml:space="preserve">Migración al esquema nuevo de API keys de Supabase ("Publishable and secret") — hoy se sigue usando el esquema legacy (anon/service_role). Sin apuro.</w:t>
      </w:r>
    </w:p>
    <w:p>
      <w:pPr>
        <w:pStyle w:val="ListParagraph"/>
        <w:numPr>
          <w:ilvl w:val="0"/>
          <w:numId w:val="1"/>
        </w:numPr>
        <w:spacing w:after="100"/>
      </w:pPr>
      <w:r>
        <w:rPr>
          <w:b w:val="false"/>
          <w:bCs w:val="false"/>
          <w:i w:val="false"/>
          <w:iCs w:val="false"/>
        </w:rPr>
        <w:t xml:space="preserve">Corregir origin de MisFinanzas.git a Telora.git en el remote local — ya hecho durante el día, dejar constancia de que quedó resuelto.</w:t>
      </w:r>
    </w:p>
    <w:p>
      <w:pPr>
        <w:pStyle w:val="ListParagraph"/>
        <w:numPr>
          <w:ilvl w:val="0"/>
          <w:numId w:val="1"/>
        </w:numPr>
        <w:spacing w:after="100"/>
      </w:pPr>
      <w:r>
        <w:rPr>
          <w:b w:val="false"/>
          <w:bCs w:val="false"/>
          <w:i w:val="false"/>
          <w:iCs w:val="false"/>
        </w:rPr>
        <w:t xml:space="preserve">Revisar si quedan filas de prueba residuales en config_dispositivo (chan012001, carlos.alvarez) para dejar la tabla completamente ordenada — no bloqueante.</w:t>
      </w:r>
    </w:p>
    <w:p>
      <w:pPr>
        <w:pStyle w:val="Heading2"/>
        <w:spacing w:after="120" w:before="240"/>
      </w:pPr>
      <w:r>
        <w:t xml:space="preserve">B. Riesgo conocido, explícitamente fuera de alcance</w:t>
      </w:r>
    </w:p>
    <w:p>
      <w:pPr>
        <w:pStyle w:val="ListParagraph"/>
        <w:numPr>
          <w:ilvl w:val="0"/>
          <w:numId w:val="1"/>
        </w:numPr>
        <w:spacing w:after="100"/>
      </w:pPr>
      <w:r>
        <w:rPr>
          <w:b w:val="false"/>
          <w:bCs w:val="false"/>
          <w:i w:val="false"/>
          <w:iCs w:val="false"/>
        </w:rPr>
        <w:t xml:space="preserve">Multi-pestaña con Realtime activo entre pestañas de distintos orígenes o dispositivos no se resuelve con Web Locks (esa API solo coordina dentro del mismo navegador/perfil) — sigue siendo un riesgo conocido, sin resolver, tal como se dejó anotado en tandas anteriores.</w:t>
      </w:r>
    </w:p>
    <w:p>
      <w:pPr>
        <w:pStyle w:val="Heading2"/>
        <w:spacing w:after="120" w:before="240"/>
      </w:pPr>
      <w:r>
        <w:t xml:space="preserve">C. Commits del Día 17</w:t>
      </w:r>
    </w:p>
    <w:p>
      <w:pPr>
        <w:pStyle w:val="ListParagraph"/>
        <w:numPr>
          <w:ilvl w:val="0"/>
          <w:numId w:val="1"/>
        </w:numPr>
        <w:spacing w:after="100"/>
      </w:pPr>
      <w:r>
        <w:rPr>
          <w:b/>
          <w:bCs/>
          <w:i w:val="false"/>
          <w:iCs w:val="false"/>
        </w:rPr>
        <w:t xml:space="preserve">d0c905f · </w:t>
      </w:r>
      <w:r>
        <w:rPr>
          <w:b w:val="false"/>
          <w:bCs w:val="false"/>
          <w:i w:val="false"/>
          <w:iCs w:val="false"/>
        </w:rPr>
        <w:t xml:space="preserve">Confirmación de dueño y candado de dispositivo antes de subir datos iniciales (Etapa 2, Tanda 2 - corrección de diseño)</w:t>
      </w:r>
    </w:p>
    <w:p>
      <w:pPr>
        <w:pStyle w:val="ListParagraph"/>
        <w:numPr>
          <w:ilvl w:val="0"/>
          <w:numId w:val="1"/>
        </w:numPr>
        <w:spacing w:after="100"/>
      </w:pPr>
      <w:r>
        <w:rPr>
          <w:b/>
          <w:bCs/>
          <w:i w:val="false"/>
          <w:iCs w:val="false"/>
        </w:rPr>
        <w:t xml:space="preserve">0823d6a · </w:t>
      </w:r>
      <w:r>
        <w:rPr>
          <w:b w:val="false"/>
          <w:bCs w:val="false"/>
          <w:i w:val="false"/>
          <w:iCs w:val="false"/>
        </w:rPr>
        <w:t xml:space="preserve">Borrar una categoría también migra las deudas que la usan</w:t>
      </w:r>
    </w:p>
    <w:p>
      <w:pPr>
        <w:pStyle w:val="ListParagraph"/>
        <w:numPr>
          <w:ilvl w:val="0"/>
          <w:numId w:val="1"/>
        </w:numPr>
        <w:spacing w:after="100"/>
      </w:pPr>
      <w:r>
        <w:rPr>
          <w:b/>
          <w:bCs/>
          <w:i w:val="false"/>
          <w:iCs w:val="false"/>
        </w:rPr>
        <w:t xml:space="preserve">6a0820e · </w:t>
      </w:r>
      <w:r>
        <w:rPr>
          <w:b w:val="false"/>
          <w:bCs w:val="false"/>
          <w:i w:val="false"/>
          <w:iCs w:val="false"/>
        </w:rPr>
        <w:t xml:space="preserve">Resumenes dia 15 y 16</w:t>
      </w:r>
    </w:p>
    <w:p>
      <w:pPr>
        <w:pStyle w:val="ListParagraph"/>
        <w:numPr>
          <w:ilvl w:val="0"/>
          <w:numId w:val="1"/>
        </w:numPr>
        <w:spacing w:after="100"/>
      </w:pPr>
      <w:r>
        <w:rPr>
          <w:b/>
          <w:bCs/>
          <w:i w:val="false"/>
          <w:iCs w:val="false"/>
        </w:rPr>
        <w:t xml:space="preserve">76bf294 · </w:t>
      </w:r>
      <w:r>
        <w:rPr>
          <w:b w:val="false"/>
          <w:bCs w:val="false"/>
          <w:i w:val="false"/>
          <w:iCs w:val="false"/>
        </w:rPr>
        <w:t xml:space="preserve">Permite renombrar categorías de gasto (migra gastos y deudas)</w:t>
      </w:r>
    </w:p>
    <w:p>
      <w:pPr>
        <w:pStyle w:val="ListParagraph"/>
        <w:numPr>
          <w:ilvl w:val="0"/>
          <w:numId w:val="1"/>
        </w:numPr>
        <w:spacing w:after="100"/>
      </w:pPr>
      <w:r>
        <w:rPr>
          <w:b/>
          <w:bCs/>
          <w:i w:val="false"/>
          <w:iCs w:val="false"/>
        </w:rPr>
        <w:t xml:space="preserve">67e9a73 · </w:t>
      </w:r>
      <w:r>
        <w:rPr>
          <w:b w:val="false"/>
          <w:bCs w:val="false"/>
          <w:i w:val="false"/>
          <w:iCs w:val="false"/>
        </w:rPr>
        <w:t xml:space="preserve">Lectura inicial desde la nube + Realtime en modo observación (Etapa 2, Tanda 3 - pull desactivado, ver prerrequisitos en el código)</w:t>
      </w:r>
    </w:p>
    <w:p>
      <w:pPr>
        <w:spacing w:after="200"/>
      </w:pPr>
      <w:r>
        <w:t xml:space="preserve">Nota de orden: d0c905f, 0823d6a y 6a0820e se subieron todos juntos en el mismo push (los dos primeros habían quedado pendientes de una sesión anterior); 76bf294 ya estaba en producción desde antes; 67e9a73 se pusheó por separado al cierre del día. Todos confirmados en producción por BUILD en sw.js y contenido real del index.html servido, no solo por el estado del workflow de Actions.</w:t>
      </w:r>
    </w:p>
    <w:p>
      <w:pPr>
        <w:spacing w:before="400"/>
      </w:pPr>
      <w:r>
        <w:rPr>
          <w:i/>
          <w:iCs/>
          <w:color w:val="666666"/>
          <w:sz w:val="20"/>
          <w:szCs w:val="20"/>
        </w:rPr>
        <w:t xml:space="preserve">Documento: Resumen del Día 17 — MisFinanzas (Telora). Se lee junto con el Día 16, el Estudio Exhaustivo, la Especificación Final y los resúmenes de días anteriores.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sz w:val="40"/>
      <w:szCs w:val="40"/>
    </w:rPr>
  </w:style>
  <w:style w:type="paragraph" w:styleId="Heading1">
    <w:name w:val="Heading 1"/>
    <w:basedOn w:val="Normal"/>
    <w:next w:val="Normal"/>
    <w:qFormat/>
    <w:rPr>
      <w:rFonts w:ascii="Calibri" w:cs="Calibri" w:eastAsia="Calibri" w:hAnsi="Calibri"/>
      <w:b/>
      <w:bCs/>
      <w:color w:val="1A1A1A"/>
      <w:sz w:val="28"/>
      <w:szCs w:val="28"/>
    </w:rPr>
  </w:style>
  <w:style w:type="paragraph" w:styleId="Heading2">
    <w:name w:val="Heading 2"/>
    <w:basedOn w:val="Normal"/>
    <w:next w:val="Normal"/>
    <w:qFormat/>
    <w:rPr>
      <w:rFonts w:ascii="Calibri" w:cs="Calibri" w:eastAsia="Calibri" w:hAnsi="Calibri"/>
      <w:b/>
      <w:bCs/>
      <w:color w:val="9C7A3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2026-09-25T12:35:23.150Z</dcterms:created>
  <dcterms:modified xsi:type="dcterms:W3CDTF">2026-09-25T12:35:23.159Z</dcterms:modified>
</cp:coreProperties>
</file>

<file path=docProps/custom.xml><?xml version="1.0" encoding="utf-8"?>
<Properties xmlns="http://schemas.openxmlformats.org/officeDocument/2006/custom-properties" xmlns:vt="http://schemas.openxmlformats.org/officeDocument/2006/docPropsVTypes"/>
</file>