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 </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Oscar Callejas </w:t>
            </w:r>
          </w:p>
          <w:p w:rsidR="00000000" w:rsidDel="00000000" w:rsidP="00000000" w:rsidRDefault="00000000" w:rsidRPr="00000000" w14:paraId="0000000E">
            <w:pPr>
              <w:rPr>
                <w:b w:val="1"/>
                <w:bCs w:val="1"/>
              </w:rPr>
            </w:pPr>
            <w:r w:rsidDel="00000000" w:rsidR="00000000" w:rsidRPr="00000000">
              <w:rPr>
                <w:b w:val="1"/>
                <w:bCs w:val="1"/>
                <w:rtl w:val="0"/>
              </w:rPr>
              <w:t xml:space="preserve">Hilary Torres </w:t>
            </w:r>
          </w:p>
          <w:p w:rsidR="00000000" w:rsidDel="00000000" w:rsidP="00000000" w:rsidRDefault="00000000" w:rsidRPr="00000000" w14:paraId="0000000F">
            <w:pPr>
              <w:rPr>
                <w:b w:val="1"/>
                <w:bCs w:val="1"/>
              </w:rPr>
            </w:pPr>
            <w:r w:rsidDel="00000000" w:rsidR="00000000" w:rsidRPr="00000000">
              <w:rPr>
                <w:b w:val="1"/>
                <w:bCs w:val="1"/>
                <w:rtl w:val="0"/>
              </w:rPr>
              <w:t xml:space="preserve">Danae Muñoz </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21.528.430-1</w:t>
            </w:r>
          </w:p>
          <w:p w:rsidR="00000000" w:rsidDel="00000000" w:rsidP="00000000" w:rsidRDefault="00000000" w:rsidRPr="00000000" w14:paraId="00000012">
            <w:pPr>
              <w:rPr>
                <w:b w:val="1"/>
                <w:bCs w:val="1"/>
              </w:rPr>
            </w:pPr>
            <w:r w:rsidDel="00000000" w:rsidR="00000000" w:rsidRPr="00000000">
              <w:rPr>
                <w:b w:val="1"/>
                <w:bCs w:val="1"/>
                <w:rtl w:val="0"/>
              </w:rPr>
              <w:t xml:space="preserve">26.001.954-6</w:t>
            </w:r>
          </w:p>
          <w:p w:rsidR="00000000" w:rsidDel="00000000" w:rsidP="00000000" w:rsidRDefault="00000000" w:rsidRPr="00000000" w14:paraId="00000013">
            <w:pPr>
              <w:rPr>
                <w:b w:val="1"/>
                <w:bCs w:val="1"/>
              </w:rPr>
            </w:pPr>
            <w:r w:rsidDel="00000000" w:rsidR="00000000" w:rsidRPr="00000000">
              <w:rPr>
                <w:b w:val="1"/>
                <w:bCs w:val="1"/>
                <w:rtl w:val="0"/>
              </w:rPr>
              <w:t xml:space="preserve">21.462.321-8</w:t>
            </w:r>
          </w:p>
        </w:tc>
      </w:tr>
      <w:tr>
        <w:trPr>
          <w:cantSplit w:val="0"/>
          <w:trHeight w:val="434.8152669270833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San Joaquín </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D">
            <w:pPr>
              <w:spacing w:after="60" w:before="0" w:lineRule="auto"/>
              <w:jc w:val="left"/>
              <w:rPr/>
            </w:pPr>
            <w:r w:rsidDel="00000000" w:rsidR="00000000" w:rsidRPr="00000000">
              <w:rPr>
                <w:i w:val="0"/>
                <w:iCs w:val="0"/>
                <w:color w:val="000000"/>
                <w:sz w:val="20"/>
                <w:szCs w:val="20"/>
                <w:rtl w:val="0"/>
              </w:rPr>
              <w:t xml:space="preserve">KONEA Focus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F">
            <w:pPr>
              <w:spacing w:after="60" w:before="0" w:lineRule="auto"/>
              <w:jc w:val="left"/>
              <w:rPr/>
            </w:pPr>
            <w:r w:rsidDel="00000000" w:rsidR="00000000" w:rsidRPr="00000000">
              <w:rPr>
                <w:i w:val="0"/>
                <w:iCs w:val="0"/>
                <w:color w:val="000000"/>
                <w:sz w:val="20"/>
                <w:szCs w:val="20"/>
                <w:rtl w:val="0"/>
              </w:rPr>
              <w:t xml:space="preserve">Desarrollo de software; arquitectura e integración de sistemas; bases de datos; aseguramiento de calidad y seguridad;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Competencias </w:t>
            </w:r>
          </w:p>
          <w:p w:rsidR="00000000" w:rsidDel="00000000" w:rsidP="00000000" w:rsidRDefault="00000000" w:rsidRPr="00000000" w14:paraId="00000021">
            <w:pPr>
              <w:rPr>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Realizar pruebas de calidad tanto de los productos como de los procesos utilizando buenas prácticas definidas por la industria.</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Construir el modelo arquitectónico de una solución sistémica que soporte los procesos de negocio de acuerdo con los requerimientos de la organización y estándares de la industria.</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Implementar soluciones sistémicas integrales para automatizar u optimizar procesos de negocio de acuerdo con las necesidades de la organización.</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Desarrollar proyectos de emprendimiento a partir de la identificación de oportunidades desde su especialidad, aplicando técnicas afines al objetivo, con foco en agregar valor al entorno.</w:t>
            </w: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tl w:val="0"/>
              </w:rPr>
              <w:t xml:space="preserve">Escogimos este tema porque representa una necesidad concreta y actual dentro del campo laboral de la Ingeniería en Informática: diseñar soluciones digitales que integren información, automaticen procesos y mejoren la experiencia de los usuarios mediante software útil, innovador y centrado en problemas reales. Además, este proyecto no solo aborda la organización académica, sino que agrega un valor diferenciador al incorporar un asistente de escritorio capaz de registrar sesiones de estudio, aplicar técnicas de concentración como Pomodoro y mostrar estadísticas sobre el tiempo dedicado a cada asignatura, combinando así planificación y seguimiento real del estudio.</w:t>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La problemática se sitúa principalmente en el contexto de estudiantes de educación superior, especialmente universitarios que deben organizar múltiples asignaturas, evaluaciones, proyectos y tiempos de estudio durante el semestre. Afecta directamente a estudiantes que requieren herramientas más integradas para gestionar su carga académica, pero también impacta indirectamente a instituciones educativas interesadas en modernizar la experiencia universitaria y fomentar una mejor autogestión del aprendizaje. En este sentido, el aporte de valor del proyecto consiste en ofrecer una solución tecnológica integral que permita centralizar asignaturas y actividades, registrar sesiones reales de estudio y entregar información útil para que el estudiante comprenda cómo distribuye su tiempo y tome mejores decisiones sobre su organización académica.</w:t>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tl w:val="0"/>
              </w:rPr>
              <w:t xml:space="preserve">El objetivo del proyecto es desarrollar una solución de software integrada para apoyar la planificación y el seguimiento del estudio universitario, permitiendo que los estudiantes organicen sus asignaturas y actividades académicas desde KONEA Focus y registren sus sesiones reales de estudio mediante un componente de escritorio integrado al mismo sistema.</w:t>
            </w:r>
          </w:p>
          <w:p w:rsidR="00000000" w:rsidDel="00000000" w:rsidP="00000000" w:rsidRDefault="00000000" w:rsidRPr="00000000" w14:paraId="00000037">
            <w:pPr>
              <w:rPr/>
            </w:pPr>
            <w:r w:rsidDel="00000000" w:rsidR="00000000" w:rsidRPr="00000000">
              <w:rPr>
                <w:rFonts w:ascii="Calibri" w:cs="Calibri" w:eastAsia="Calibri" w:hAnsi="Calibri"/>
                <w:rtl w:val="0"/>
              </w:rPr>
              <w:t xml:space="preserve">KONEA Focus integra una interfaz web para gestionar asignaturas, actividades y próximas evaluaciones, junto con un componente de escritorio desde el cual el estudiante podrá iniciar sesiones de estudio, utilizar Pomodoro, visualizar un avatar interactivo y registrar el tiempo dedicado a cada asignatura. Ambos componentes utilizarán una misma API y persistencia central, de modo que la información de las sesiones pueda reflejarse en estadísticas como horas dedicadas por asignatura, cantidad de sesiones y distribución semanal del estudio. La propuesta toma como base Konea-Rebirth y amplía su alcance con funciones de planificación académica y seguimiento del estudio.</w:t>
            </w: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br w:type="textWrapping"/>
              <w:t xml:space="preserve">Considerando la duración del semestre y el alcance realista del Capstone, el proyecto se abordará como un </w:t>
            </w:r>
            <w:r w:rsidDel="00000000" w:rsidR="00000000" w:rsidRPr="00000000">
              <w:rPr>
                <w:rFonts w:ascii="Calibri" w:cs="Calibri" w:eastAsia="Calibri" w:hAnsi="Calibri"/>
                <w:b w:val="1"/>
                <w:bCs w:val="1"/>
                <w:rtl w:val="0"/>
              </w:rPr>
              <w:t xml:space="preserve">MVP funcional</w:t>
            </w:r>
            <w:r w:rsidDel="00000000" w:rsidR="00000000" w:rsidRPr="00000000">
              <w:rPr>
                <w:rFonts w:ascii="Calibri" w:cs="Calibri" w:eastAsia="Calibri" w:hAnsi="Calibri"/>
                <w:rtl w:val="0"/>
              </w:rPr>
              <w:t xml:space="preserve">, centrado en las características esenciales: gestión de asignaturas, registro de actividades académicas, sesiones de estudio, Pomodoro, sincronización de datos y visualización básica de estadísticas. De esta manera, se busca garantizar un producto completo, coherente y demostrable al final del curso, evitando una sobrecarga de funcionalidades que comprometa la calidad de la implementación.</w:t>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spacing w:after="60" w:before="0" w:lineRule="auto"/>
              <w:jc w:val="both"/>
              <w:rPr/>
            </w:pPr>
            <w:r w:rsidDel="00000000" w:rsidR="00000000" w:rsidRPr="00000000">
              <w:rPr>
                <w:rFonts w:ascii="Calibri" w:cs="Calibri" w:eastAsia="Calibri" w:hAnsi="Calibri"/>
                <w:b w:val="0"/>
                <w:bCs w:val="0"/>
                <w:color w:val="000000"/>
                <w:rtl w:val="0"/>
              </w:rPr>
              <w:t xml:space="preserve">KONEA Focus se relaciona directamente con el perfil de egreso de Ingeniería en Informática, ya que exige analizar una problemática real, diseñar una solución tecnológica integral y desarrollar un producto de software completo utilizando criterios de arquitectura, escalabilidad, seguridad, calidad y usabilidad. El proyecto integra una interfaz web, un componente de escritorio, una API y un modelo de datos común, por lo que requiere aplicar de manera transversal conocimientos adquiridos durante la carrera.</w:t>
            </w:r>
            <w:r w:rsidDel="00000000" w:rsidR="00000000" w:rsidRPr="00000000">
              <w:rPr>
                <w:rtl w:val="0"/>
              </w:rPr>
            </w:r>
          </w:p>
          <w:p w:rsidR="00000000" w:rsidDel="00000000" w:rsidP="00000000" w:rsidRDefault="00000000" w:rsidRPr="00000000" w14:paraId="0000003B">
            <w:pPr>
              <w:spacing w:after="60" w:before="0" w:lineRule="auto"/>
              <w:jc w:val="both"/>
              <w:rPr/>
            </w:pPr>
            <w:r w:rsidDel="00000000" w:rsidR="00000000" w:rsidRPr="00000000">
              <w:rPr>
                <w:rFonts w:ascii="Calibri" w:cs="Calibri" w:eastAsia="Calibri" w:hAnsi="Calibri"/>
                <w:b w:val="0"/>
                <w:bCs w:val="0"/>
                <w:color w:val="000000"/>
                <w:rtl w:val="0"/>
              </w:rPr>
              <w:t xml:space="preserve">Las competencias seleccionadas son necesarias para resolver la problemática propuesta porque permiten diseñar el modelo arquitectónico y de datos, construir y consumir servicios de aplicación, programar las funcionalidades del sistema, administrar la persistencia de información y realizar pruebas de calidad. Asimismo, la comunicación entre los componentes de KONEA Focus exige aplicar buenas prácticas de integración y seguridad, mientras que la planificación del trabajo, el control de versiones y la definición de entregables permiten demostrar competencias de gestión de proyectos informáticos. De esta forma, el proyecto evidencia capacidades técnicas y metodológicas propias del ejercicio profesional de un Ingeniero en Informática.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spacing w:after="60" w:before="0" w:lineRule="auto"/>
              <w:jc w:val="both"/>
              <w:rPr/>
            </w:pPr>
            <w:r w:rsidDel="00000000" w:rsidR="00000000" w:rsidRPr="00000000">
              <w:rPr>
                <w:rFonts w:ascii="Calibri" w:cs="Calibri" w:eastAsia="Calibri" w:hAnsi="Calibri"/>
                <w:b w:val="0"/>
                <w:bCs w:val="0"/>
                <w:color w:val="000000"/>
                <w:rtl w:val="0"/>
              </w:rPr>
              <w:t xml:space="preserve">Como equipo, nuestros intereses profesionales combinan distintas áreas de la Ingeniería en Informática: desarrollo de software, backend y gestión de datos; diseño visual e ilustración; y gestión, documentación y liderazgo de proyectos. KONEA Focus permite reunir estas fortalezas dentro de una solución única, manteniendo responsabilidades diferenciadas y un trabajo colaborativo en la integración del sistema.</w:t>
            </w:r>
            <w:r w:rsidDel="00000000" w:rsidR="00000000" w:rsidRPr="00000000">
              <w:rPr>
                <w:rtl w:val="0"/>
              </w:rPr>
            </w:r>
          </w:p>
          <w:p w:rsidR="00000000" w:rsidDel="00000000" w:rsidP="00000000" w:rsidRDefault="00000000" w:rsidRPr="00000000" w14:paraId="0000003E">
            <w:pPr>
              <w:spacing w:after="60" w:before="0" w:lineRule="auto"/>
              <w:jc w:val="both"/>
              <w:rPr/>
            </w:pPr>
            <w:r w:rsidDel="00000000" w:rsidR="00000000" w:rsidRPr="00000000">
              <w:rPr>
                <w:rFonts w:ascii="Calibri" w:cs="Calibri" w:eastAsia="Calibri" w:hAnsi="Calibri"/>
                <w:b w:val="0"/>
                <w:bCs w:val="0"/>
                <w:color w:val="000000"/>
                <w:rtl w:val="0"/>
              </w:rPr>
              <w:t xml:space="preserve">El proyecto refleja nuestro interés por desarrollar una solución completa y no solamente funcionalidades aisladas. Oscar se enfocará principalmente en backend, lógica del sistema y administración de datos; Hilary en diseño visual, organización de interfaz, ilustración y animación del avatar; y Danae en liderazgo, documentación y organización del proyecto. El desarrollo, la integración, las pruebas y el seguimiento de avances serán responsabilidades compartidas, fortaleciendo competencias de colaboración, control de versiones, documentación y resolución de problemas.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spacing w:after="60" w:before="0" w:lineRule="auto"/>
              <w:jc w:val="both"/>
              <w:rPr/>
            </w:pPr>
            <w:r w:rsidDel="00000000" w:rsidR="00000000" w:rsidRPr="00000000">
              <w:rPr>
                <w:rFonts w:ascii="Calibri" w:cs="Calibri" w:eastAsia="Calibri" w:hAnsi="Calibri"/>
                <w:b w:val="0"/>
                <w:bCs w:val="0"/>
                <w:color w:val="000000"/>
                <w:rtl w:val="0"/>
              </w:rPr>
              <w:t xml:space="preserve">El desarrollo de KONEA Focus es factible dentro del semestre porque el alcance se ha reducido a un MVP funcional y demostrable. Durante las primeras cuatro semanas se definirá el problema, la arquitectura, el modelo de datos, los prototipos y el plan de trabajo; posteriormente se concentrará el desarrollo en las funciones esenciales: gestión de asignaturas y actividades, sesiones de estudio, Pomodoro, avatar básico, sincronización y estadísticas. Se evitará incorporar durante el semestre funcionalidades de mayor riesgo como integración real con sistemas institucionales, interoperabilidad entre universidades o análisis predictivo. El proyecto parte del repositorio público Konea-Rebirth, cuyo stack actual utiliza React 19, TypeScript y Vite 8 para la interfaz web; Node.js 22+, Express 5 y TypeScript para la API; PostgreSQL 17 con Drizzle ORM para persistencia; npm workspaces y Docker Compose para el entorno de desarrollo. También utiliza herramientas de validación, seguridad y calidad como Zod, scrypt, cookies HttpOnly, Helmet, límites de tasa, Vitest, Supertest, oxlint y Prettier. Para el componente de escritorio se contempla Electron reutilizando React/TypeScript y los servicios REST existentes. Los recursos necesarios son accesibles para el equipo: computadores personales, conexión a Internet, GitHub y herramientas gratuitas de desarrollo. Los principales riesgos corresponden al crecimiento no controlado del alcance, errores de integración y dificultades de sincronización. Para mitigarlos se trabajará de forma incremental, se priorizará el MVP y se realizarán pruebas periódicas, reservando las últimas semanas para estabilización, documentación y preparación de la entrega final.</w:t>
            </w:r>
            <w:r w:rsidDel="00000000" w:rsidR="00000000" w:rsidRPr="00000000">
              <w:rPr>
                <w:rtl w:val="0"/>
              </w:rPr>
            </w:r>
          </w:p>
        </w:tc>
      </w:tr>
    </w:tbl>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spacing w:after="0" w:before="0" w:lineRule="auto"/>
              <w:jc w:val="both"/>
              <w:rPr/>
            </w:pPr>
            <w:r w:rsidDel="00000000" w:rsidR="00000000" w:rsidRPr="00000000">
              <w:rPr>
                <w:rFonts w:ascii="Calibri" w:cs="Calibri" w:eastAsia="Calibri" w:hAnsi="Calibri"/>
                <w:b w:val="0"/>
                <w:bCs w:val="0"/>
                <w:i w:val="0"/>
                <w:iCs w:val="0"/>
                <w:color w:val="000000"/>
                <w:rtl w:val="0"/>
              </w:rPr>
              <w:t xml:space="preserve">Desarrollar una solución de software integrada que permita a estudiantes de educación superior planificar sus actividades académicas, registrar sus sesiones de estudio mediante un componente de escritorio integrado y visualizar información sobre la distribución de su tiempo, con el fin de apoyar su organización y autogestión académica.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spacing w:after="0" w:before="0" w:lineRule="auto"/>
              <w:jc w:val="both"/>
              <w:rPr/>
            </w:pPr>
            <w:r w:rsidDel="00000000" w:rsidR="00000000" w:rsidRPr="00000000">
              <w:rPr>
                <w:rFonts w:ascii="Calibri" w:cs="Calibri" w:eastAsia="Calibri" w:hAnsi="Calibri"/>
                <w:b w:val="0"/>
                <w:bCs w:val="0"/>
                <w:i w:val="0"/>
                <w:iCs w:val="0"/>
                <w:color w:val="000000"/>
                <w:rtl w:val="0"/>
              </w:rPr>
              <w:t xml:space="preserve">1. Diseñar e implementar una plataforma web para gestionar asignaturas, actividades académicas y fechas relevantes del estudiante.</w:t>
              <w:br w:type="textWrapping"/>
              <w:t xml:space="preserve">2. Desarrollar un componente de escritorio integrado que permita realizar sesiones de estudio, utilizar Pomodoro y representar el estado de la sesión mediante un avatar interactivo.</w:t>
              <w:br w:type="textWrapping"/>
              <w:t xml:space="preserve">3. Implementar una API y un modelo de datos escalable que permitan sincronizar la información académica y las sesiones de estudio entre los componentes del sistema.</w:t>
              <w:br w:type="textWrapping"/>
              <w:t xml:space="preserve">4. Implementar un dashboard con estadísticas básicas de tiempo de estudio, sesiones realizadas y distribución del esfuerzo por asignatura.</w:t>
              <w:br w:type="textWrapping"/>
              <w:t xml:space="preserve">5. Validar la solución mediante pruebas funcionales, de integración y calidad, documentar su arquitectura y mantener un entorno de desarrollo reproducible mediante npm workspaces y Docker Compose.</w:t>
            </w: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50">
            <w:pPr>
              <w:spacing w:after="60" w:before="0" w:lineRule="auto"/>
              <w:jc w:val="both"/>
              <w:rPr/>
            </w:pPr>
            <w:r w:rsidDel="00000000" w:rsidR="00000000" w:rsidRPr="00000000">
              <w:rPr>
                <w:rFonts w:ascii="Calibri" w:cs="Calibri" w:eastAsia="Calibri" w:hAnsi="Calibri"/>
                <w:b w:val="0"/>
                <w:bCs w:val="0"/>
                <w:i w:val="0"/>
                <w:iCs w:val="0"/>
                <w:color w:val="000000"/>
                <w:rtl w:val="0"/>
              </w:rPr>
              <w:t xml:space="preserve">El proyecto se desarrollará utilizando una metodología ágil basada en Scrum, adaptada a la duración del semestre. Durante la Fase 1 se realizará el levantamiento de la problemática, definición del alcance del MVP, priorización del Product Backlog, diseño de prototipos, arquitectura, modelo de datos y planificación. Durante la Fase 2 se trabajará en iteraciones cortas, priorizando primero la arquitectura base y la integración entre componentes y posteriormente las funcionalidades de mayor valor. Cada iteración finalizará con una revisión del incremento, actualización del repositorio y registro de tareas pendientes. Las últimas semanas de desarrollo se destinarán a pruebas, corrección de errores, estabilización del entorno y documentación, evitando incorporar nuevas funcionalidades después del cierre técnico del MVP.</w:t>
            </w:r>
            <w:r w:rsidDel="00000000" w:rsidR="00000000" w:rsidRPr="00000000">
              <w:rPr>
                <w:rtl w:val="0"/>
              </w:rPr>
            </w:r>
          </w:p>
          <w:p w:rsidR="00000000" w:rsidDel="00000000" w:rsidP="00000000" w:rsidRDefault="00000000" w:rsidRPr="00000000" w14:paraId="00000051">
            <w:pPr>
              <w:spacing w:after="60" w:before="0" w:lineRule="auto"/>
              <w:jc w:val="both"/>
              <w:rPr/>
            </w:pPr>
            <w:r w:rsidDel="00000000" w:rsidR="00000000" w:rsidRPr="00000000">
              <w:rPr>
                <w:rFonts w:ascii="Calibri" w:cs="Calibri" w:eastAsia="Calibri" w:hAnsi="Calibri"/>
                <w:b w:val="0"/>
                <w:bCs w:val="0"/>
                <w:i w:val="0"/>
                <w:iCs w:val="0"/>
                <w:color w:val="000000"/>
                <w:rtl w:val="0"/>
              </w:rPr>
              <w:t xml:space="preserve">El equipo utilizará GitHub como repositorio público y mecanismo de seguimiento, empleando ramas por funcionalidad, pull requests y revisión de cambios. El backlog se organizará por historias de usuario y criterios de aceptación, y las pruebas se incorporarán progresivamente para evitar concentrarlas al final del semestre. Los componentes de KONEA Focus se comunicarán mediante servicios REST. La base tecnológica actual del repositorio utiliza React 19, TypeScript y Vite 8 para la Web; Node.js 22+, Express 5 y TypeScript para la API; PostgreSQL 17 con Drizzle ORM para los datos; npm workspaces y Docker Compose para el entorno de desarrollo. Para el componente de escritorio se contempla Electron reutilizando React/TypeScript y la API existente. Las responsabilidades principales serán: Oscar Callejas, backend, lógica del sistema y administración de datos; Danae Muñoz, liderazgo, documentación y organización del proyecto; Hilary Torres, diseño visual, organización de interfaz, ilustración y animación del avatar. El desarrollo de funcionalidades, la integración, las pruebas y el seguimiento de avances serán responsabilidades compartidas por los tres integrantes.</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tcMar>
              <w:top w:w="45.0" w:type="dxa"/>
              <w:bottom w:w="45.0" w:type="dxa"/>
            </w:tcMar>
            <w:vAlign w:val="center"/>
          </w:tcPr>
          <w:p w:rsidR="00000000" w:rsidDel="00000000" w:rsidP="00000000" w:rsidRDefault="00000000" w:rsidRPr="00000000" w14:paraId="0000005C">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Avance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5D">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Repositorio y arquitectura inicial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5E">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Repositorio GitHub público (https://github.com/SrCazuela/Konea-Rebirth) con README, backlog, arquitectura inicial, modelo de datos, diagramas UML clave y base existente de los componentes Web y API, incorporando en el backlog el componente de escritorio de KONEA Focus.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5F">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Permite evidenciar planificación, diseño técnico, control de versiones y una base implementada antes de la etapa de integración.</w:t>
            </w:r>
            <w:r w:rsidDel="00000000" w:rsidR="00000000" w:rsidRPr="00000000">
              <w:rPr>
                <w:rtl w:val="0"/>
              </w:rPr>
            </w:r>
          </w:p>
        </w:tc>
      </w:tr>
      <w:tr>
        <w:trPr>
          <w:cantSplit w:val="0"/>
          <w:trHeight w:val="362" w:hRule="atLeast"/>
          <w:tblHeader w:val="0"/>
        </w:trPr>
        <w:tc>
          <w:tcPr>
            <w:tcMar>
              <w:top w:w="45.0" w:type="dxa"/>
              <w:bottom w:w="45.0" w:type="dxa"/>
            </w:tcMar>
            <w:vAlign w:val="center"/>
          </w:tcPr>
          <w:p w:rsidR="00000000" w:rsidDel="00000000" w:rsidP="00000000" w:rsidRDefault="00000000" w:rsidRPr="00000000" w14:paraId="00000060">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Avance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1">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MVP integrado parcial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Incremento funcional que permita crear o visualizar asignaturas, iniciar y finalizar una sesión desde el componente de escritorio integrado y registrar/sincronizar la sesión mediante la API, acompañado de pruebas iniciales.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3">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Demuestra que los componentes principales se comunican de extremo a extremo y reduce el riesgo técnico antes de continuar con funcionalidades secundarias.</w:t>
            </w:r>
            <w:r w:rsidDel="00000000" w:rsidR="00000000" w:rsidRPr="00000000">
              <w:rPr>
                <w:rtl w:val="0"/>
              </w:rPr>
            </w:r>
          </w:p>
        </w:tc>
      </w:tr>
      <w:tr>
        <w:trPr>
          <w:cantSplit w:val="0"/>
          <w:trHeight w:val="362" w:hRule="atLeast"/>
          <w:tblHeader w:val="0"/>
        </w:trPr>
        <w:tc>
          <w:tcPr>
            <w:tcMar>
              <w:top w:w="45.0" w:type="dxa"/>
              <w:bottom w:w="45.0" w:type="dxa"/>
            </w:tcMar>
            <w:vAlign w:val="center"/>
          </w:tcPr>
          <w:p w:rsidR="00000000" w:rsidDel="00000000" w:rsidP="00000000" w:rsidRDefault="00000000" w:rsidRPr="00000000" w14:paraId="00000064">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Final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5">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Producto de software integrado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Versión final de KONEA Focus con aplicación web, backend, base de datos y cliente integrados; gestión académica básica, sesiones de estudio, Pomodoro, avatar básico, sincronización y dashboard estadístico.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7">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Evidencia el cumplimiento del objetivo general mediante un producto completo, funcional y demostrable.</w:t>
            </w:r>
            <w:r w:rsidDel="00000000" w:rsidR="00000000" w:rsidRPr="00000000">
              <w:rPr>
                <w:rtl w:val="0"/>
              </w:rPr>
            </w:r>
          </w:p>
        </w:tc>
      </w:tr>
      <w:tr>
        <w:trPr>
          <w:cantSplit w:val="0"/>
          <w:trHeight w:val="362" w:hRule="atLeast"/>
          <w:tblHeader w:val="0"/>
        </w:trPr>
        <w:tc>
          <w:tcPr>
            <w:tcMar>
              <w:top w:w="45.0" w:type="dxa"/>
              <w:bottom w:w="45.0" w:type="dxa"/>
            </w:tcMar>
            <w:vAlign w:val="center"/>
          </w:tcPr>
          <w:p w:rsidR="00000000" w:rsidDel="00000000" w:rsidP="00000000" w:rsidRDefault="00000000" w:rsidRPr="00000000" w14:paraId="00000068">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Final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9">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Evidencia técnica, pruebas y despliegue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A">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Informe final, diagramas UML y ER actualizados, plan y resultados de pruebas, documentación de API, instrucciones de instalación y ejecución, configuración con npm workspaces/Docker Compose y evidencias de funcionamiento.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B">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Permite verificar calidad, arquitectura, trazabilidad del desarrollo, reproducibilidad del despliegue y cumplimiento de los requisitos técnicos de Capstone.</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1"/>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1"/>
        </w:trPr>
        <w:tc>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1"/>
          <w:tblHeader w:val="0"/>
        </w:trPr>
        <w:tc>
          <w:tcPr>
            <w:tcMar>
              <w:top w:w="15.0" w:type="dxa"/>
              <w:bottom w:w="15.0" w:type="dxa"/>
            </w:tcMar>
            <w:vAlign w:val="center"/>
          </w:tcPr>
          <w:p w:rsidR="00000000" w:rsidDel="00000000" w:rsidP="00000000" w:rsidRDefault="00000000" w:rsidRPr="00000000" w14:paraId="0000007F">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Propuesta integral; gestión de proyectos; arquitectura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0">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Definición y alcance</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1">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Validar problemática, usuarios, alcance del MVP, objetivos, historias de usuario y criterios de aceptación.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Guía APT, GitHub, entrevistas/encuesta, herramientas de prototipado</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83">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1-2</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84">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5">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Riesgo de sobrealcance; se priorizará el flujo mínimo completo.</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8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Arquitectura; modelos de datos; gestión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7">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Diseño técnico y planificación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8">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Definir arquitectura, ER, UML, contratos API, prototipos, backlog y planificación del semestre.</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Draw.io/PlantUML, Figma, GitHub Projects, documentación técnica</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8A">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2-4</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8B">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Danae / 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C">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Danae coordina documentación y organización; las decisiones técnicas se validan en equipo.</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8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Modelos de datos; programación; seguridad</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E">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Backend, API y base de datos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F">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Implementar autenticación, usuarios, asignaturas, actividades, sesiones y persistencia principal.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0">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Node.js 22+, Express 5, TypeScript, PostgreSQL 17, Drizzle ORM, REST, GitHub</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91">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5-7</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92">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Oscar Callejas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3">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Definir contratos API tempranamente para permitir trabajo paralelo.</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9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Programación; solución sistémica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5">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KONEA Web</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Implementar interfaz web para login, asignaturas, actividades, planificación e interacción con la API.</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7">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React 19, TypeScript, Vite 8, API REST, prototipos UI</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98">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6-8</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99">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A">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Desarrollo compartido; Hilary apoya diseño visual y Danae documentación/requisitos.</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9B">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Programación; solución sistémica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C">
            <w:pPr>
              <w:spacing w:after="0" w:before="0" w:lineRule="auto"/>
              <w:jc w:val="left"/>
              <w:rPr/>
            </w:pPr>
            <w:r w:rsidDel="00000000" w:rsidR="00000000" w:rsidRPr="00000000">
              <w:rPr>
                <w:b w:val="1"/>
                <w:bCs w:val="1"/>
                <w:rtl w:val="0"/>
              </w:rPr>
              <w:t xml:space="preserve">Componente de escritorio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Implementar sesiones, Pomodoro, estados básicos del avatar y conexión con la API dentro de KONEA Focus.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E">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Electron (planificado), React, TypeScript, API REST, sprites</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9F">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6-8</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A0">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1">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Hilary lidera diseño e ilustración del avatar; implementación e integración compartidas.</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A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Arquitectura; integración; calidad</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3">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Integración MVP</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Integrar Web, API y componente de escritorio para completar el flujo asignatura -&gt; sesión -&gt; sincronización.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5">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Entornos locales, API, GitHub, herramientas de prueba</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A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8-9</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A7">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8">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Hito obligatorio para el Informe de Avance.</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A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Consultas/rutinas; programación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A">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Dashboard y estadísticas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B">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Implementar horas por asignatura, sesiones semanales, comparaciones básicas e historial.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C">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React 19, API REST, PostgreSQL 17, Drizzle ORM, librería de gráficos</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A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10-11</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AE">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Oscar / 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F">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Sin machine learning; se utilizarán métricas descriptivas y reglas simples.</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B0">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Pruebas; seguridad; administración de ambientes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1">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Calidad, seguridad y entorno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Ejecutar pruebas unitarias, integración y E2E; revisar validaciones y seguridad; verificar el entorno reproducible del proyecto.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3">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Vitest, Supertest, Zod, Helmet, oxlint, Prettier, Docker Compose, GitHub</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B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11-13</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B5">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Pruebas e integración compartidas; Oscar apoya validaciones de backend y datos.</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B7">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Gestión; pruebas; propuesta integral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8">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Estabilización y entrega final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Congelar funcionalidades, corregir errores, actualizar UML/ER, README, informe final y evidencias.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A">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GitHub, documentación, suite de pruebas</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BB">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13-15</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BC">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Danae / 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Danae coordina documentación y evidencias; el equipo corrige y valida el producto.</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BE">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Comunicación; gestión de proyectos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F">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Preparación de defensa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C0">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Preparar demostración, presentación, distribución de exposición y respuestas técnicas para comisión.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C1">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Proyecto final, presentación, evidencias y documentación</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C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16-18</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C3">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C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Ensayar demo con datos controlados y plan de contingencia.</w:t>
            </w:r>
            <w:r w:rsidDel="00000000" w:rsidR="00000000" w:rsidRPr="00000000">
              <w:rPr>
                <w:rtl w:val="0"/>
              </w:rPr>
            </w:r>
          </w:p>
        </w:tc>
      </w:tr>
    </w:tbl>
    <w:p w:rsidR="00000000" w:rsidDel="00000000" w:rsidP="00000000" w:rsidRDefault="00000000" w:rsidRPr="00000000" w14:paraId="000000C5">
      <w:pPr>
        <w:spacing w:after="0" w:line="360" w:lineRule="auto"/>
        <w:jc w:val="both"/>
        <w:rPr>
          <w:b w:val="1"/>
          <w:bCs w:val="1"/>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635.9999999999997" w:tblpY="14.442220052069388"/>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450"/>
        <w:gridCol w:w="450"/>
        <w:gridCol w:w="450"/>
        <w:gridCol w:w="450"/>
        <w:gridCol w:w="450"/>
        <w:gridCol w:w="450"/>
        <w:gridCol w:w="450"/>
        <w:gridCol w:w="450"/>
        <w:gridCol w:w="450"/>
        <w:gridCol w:w="450"/>
        <w:gridCol w:w="450"/>
        <w:gridCol w:w="450"/>
        <w:gridCol w:w="450"/>
        <w:gridCol w:w="450"/>
        <w:gridCol w:w="450"/>
        <w:gridCol w:w="450"/>
        <w:gridCol w:w="450"/>
        <w:gridCol w:w="450"/>
        <w:tblGridChange w:id="0">
          <w:tblGrid>
            <w:gridCol w:w="1560"/>
            <w:gridCol w:w="450"/>
            <w:gridCol w:w="450"/>
            <w:gridCol w:w="450"/>
            <w:gridCol w:w="450"/>
            <w:gridCol w:w="450"/>
            <w:gridCol w:w="450"/>
            <w:gridCol w:w="450"/>
            <w:gridCol w:w="450"/>
            <w:gridCol w:w="450"/>
            <w:gridCol w:w="450"/>
            <w:gridCol w:w="450"/>
            <w:gridCol w:w="450"/>
            <w:gridCol w:w="450"/>
            <w:gridCol w:w="450"/>
            <w:gridCol w:w="450"/>
            <w:gridCol w:w="450"/>
            <w:gridCol w:w="450"/>
            <w:gridCol w:w="450"/>
          </w:tblGrid>
        </w:tblGridChange>
      </w:tblGrid>
      <w:tr>
        <w:trPr>
          <w:cantSplit w:val="0"/>
          <w:tblHeader w:val="1"/>
        </w:trPr>
        <w:tc>
          <w:tcPr>
            <w:shd w:fill="d9e2f3" w:val="clear"/>
            <w:tcMar>
              <w:top w:w="8.0" w:type="dxa"/>
              <w:bottom w:w="8.0" w:type="dxa"/>
            </w:tcMar>
            <w:vAlign w:val="center"/>
          </w:tcPr>
          <w:p w:rsidR="00000000" w:rsidDel="00000000" w:rsidP="00000000" w:rsidRDefault="00000000" w:rsidRPr="00000000" w14:paraId="000000CB">
            <w:pPr>
              <w:spacing w:after="0" w:lineRule="auto"/>
              <w:jc w:val="center"/>
              <w:rPr/>
            </w:pPr>
            <w:r w:rsidDel="00000000" w:rsidR="00000000" w:rsidRPr="00000000">
              <w:rPr>
                <w:b w:val="1"/>
                <w:bCs w:val="1"/>
                <w:rtl w:val="0"/>
              </w:rPr>
              <w:t xml:space="preserve">Actividad</w:t>
            </w:r>
            <w:r w:rsidDel="00000000" w:rsidR="00000000" w:rsidRPr="00000000">
              <w:rPr>
                <w:rtl w:val="0"/>
              </w:rPr>
            </w:r>
          </w:p>
        </w:tc>
        <w:tc>
          <w:tcPr>
            <w:gridSpan w:val="4"/>
            <w:shd w:fill="e2f0d9" w:val="clear"/>
            <w:tcMar>
              <w:top w:w="8.0" w:type="dxa"/>
              <w:bottom w:w="8.0" w:type="dxa"/>
            </w:tcMar>
            <w:vAlign w:val="center"/>
          </w:tcPr>
          <w:p w:rsidR="00000000" w:rsidDel="00000000" w:rsidP="00000000" w:rsidRDefault="00000000" w:rsidRPr="00000000" w14:paraId="000000CC">
            <w:pPr>
              <w:spacing w:after="0" w:lineRule="auto"/>
              <w:jc w:val="center"/>
              <w:rPr/>
            </w:pPr>
            <w:r w:rsidDel="00000000" w:rsidR="00000000" w:rsidRPr="00000000">
              <w:rPr>
                <w:b w:val="1"/>
                <w:bCs w:val="1"/>
                <w:rtl w:val="0"/>
              </w:rPr>
              <w:t xml:space="preserve">Fase 1</w:t>
            </w:r>
            <w:r w:rsidDel="00000000" w:rsidR="00000000" w:rsidRPr="00000000">
              <w:rPr>
                <w:rtl w:val="0"/>
              </w:rPr>
            </w:r>
          </w:p>
        </w:tc>
        <w:tc>
          <w:tcPr>
            <w:gridSpan w:val="11"/>
            <w:shd w:fill="fff2cc" w:val="clear"/>
            <w:tcMar>
              <w:top w:w="8.0" w:type="dxa"/>
              <w:bottom w:w="8.0" w:type="dxa"/>
            </w:tcMar>
            <w:vAlign w:val="center"/>
          </w:tcPr>
          <w:p w:rsidR="00000000" w:rsidDel="00000000" w:rsidP="00000000" w:rsidRDefault="00000000" w:rsidRPr="00000000" w14:paraId="000000D0">
            <w:pPr>
              <w:spacing w:after="0" w:lineRule="auto"/>
              <w:jc w:val="center"/>
              <w:rPr/>
            </w:pPr>
            <w:r w:rsidDel="00000000" w:rsidR="00000000" w:rsidRPr="00000000">
              <w:rPr>
                <w:b w:val="1"/>
                <w:bCs w:val="1"/>
                <w:rtl w:val="0"/>
              </w:rPr>
              <w:t xml:space="preserve">Fase 2</w:t>
            </w:r>
            <w:r w:rsidDel="00000000" w:rsidR="00000000" w:rsidRPr="00000000">
              <w:rPr>
                <w:rtl w:val="0"/>
              </w:rPr>
            </w:r>
          </w:p>
        </w:tc>
        <w:tc>
          <w:tcPr>
            <w:gridSpan w:val="3"/>
            <w:shd w:fill="fce4d6" w:val="clear"/>
            <w:tcMar>
              <w:top w:w="8.0" w:type="dxa"/>
              <w:bottom w:w="8.0" w:type="dxa"/>
            </w:tcMar>
            <w:vAlign w:val="center"/>
          </w:tcPr>
          <w:p w:rsidR="00000000" w:rsidDel="00000000" w:rsidP="00000000" w:rsidRDefault="00000000" w:rsidRPr="00000000" w14:paraId="000000DB">
            <w:pPr>
              <w:spacing w:after="0" w:lineRule="auto"/>
              <w:jc w:val="center"/>
              <w:rPr/>
            </w:pPr>
            <w:r w:rsidDel="00000000" w:rsidR="00000000" w:rsidRPr="00000000">
              <w:rPr>
                <w:b w:val="1"/>
                <w:bCs w:val="1"/>
                <w:rtl w:val="0"/>
              </w:rPr>
              <w:t xml:space="preserve">Fase 3</w:t>
            </w:r>
            <w:r w:rsidDel="00000000" w:rsidR="00000000" w:rsidRPr="00000000">
              <w:rPr>
                <w:rtl w:val="0"/>
              </w:rPr>
            </w:r>
          </w:p>
        </w:tc>
      </w:tr>
      <w:tr>
        <w:trPr>
          <w:cantSplit w:val="0"/>
          <w:tblHeader w:val="1"/>
        </w:trPr>
        <w:tc>
          <w:tcPr>
            <w:shd w:fill="d9e2f3" w:val="clear"/>
            <w:tcMar>
              <w:top w:w="8.0" w:type="dxa"/>
              <w:bottom w:w="8.0" w:type="dxa"/>
            </w:tcMar>
            <w:vAlign w:val="center"/>
          </w:tcPr>
          <w:p w:rsidR="00000000" w:rsidDel="00000000" w:rsidP="00000000" w:rsidRDefault="00000000" w:rsidRPr="00000000" w14:paraId="000000DE">
            <w:pPr>
              <w:spacing w:after="0" w:lineRule="auto"/>
              <w:jc w:val="center"/>
              <w:rPr/>
            </w:pPr>
            <w:r w:rsidDel="00000000" w:rsidR="00000000" w:rsidRPr="00000000">
              <w:rPr>
                <w:b w:val="1"/>
                <w:bCs w:val="1"/>
                <w:rtl w:val="0"/>
              </w:rPr>
              <w:t xml:space="preserve">Actividad</w:t>
            </w:r>
            <w:r w:rsidDel="00000000" w:rsidR="00000000" w:rsidRPr="00000000">
              <w:rPr>
                <w:rtl w:val="0"/>
              </w:rPr>
            </w:r>
          </w:p>
        </w:tc>
        <w:tc>
          <w:tcPr>
            <w:shd w:fill="e2f0d9" w:val="clear"/>
            <w:tcMar>
              <w:top w:w="8.0" w:type="dxa"/>
              <w:bottom w:w="8.0" w:type="dxa"/>
            </w:tcMar>
            <w:vAlign w:val="center"/>
          </w:tcPr>
          <w:p w:rsidR="00000000" w:rsidDel="00000000" w:rsidP="00000000" w:rsidRDefault="00000000" w:rsidRPr="00000000" w14:paraId="000000DF">
            <w:pPr>
              <w:spacing w:after="0" w:lineRule="auto"/>
              <w:jc w:val="center"/>
              <w:rPr/>
            </w:pPr>
            <w:r w:rsidDel="00000000" w:rsidR="00000000" w:rsidRPr="00000000">
              <w:rPr>
                <w:b w:val="1"/>
                <w:bCs w:val="1"/>
                <w:rtl w:val="0"/>
              </w:rPr>
              <w:t xml:space="preserve">S1</w:t>
            </w:r>
            <w:r w:rsidDel="00000000" w:rsidR="00000000" w:rsidRPr="00000000">
              <w:rPr>
                <w:rtl w:val="0"/>
              </w:rPr>
            </w:r>
          </w:p>
        </w:tc>
        <w:tc>
          <w:tcPr>
            <w:shd w:fill="e2f0d9" w:val="clear"/>
            <w:tcMar>
              <w:top w:w="8.0" w:type="dxa"/>
              <w:bottom w:w="8.0" w:type="dxa"/>
            </w:tcMar>
            <w:vAlign w:val="center"/>
          </w:tcPr>
          <w:p w:rsidR="00000000" w:rsidDel="00000000" w:rsidP="00000000" w:rsidRDefault="00000000" w:rsidRPr="00000000" w14:paraId="000000E0">
            <w:pPr>
              <w:spacing w:after="0" w:lineRule="auto"/>
              <w:jc w:val="center"/>
              <w:rPr/>
            </w:pPr>
            <w:r w:rsidDel="00000000" w:rsidR="00000000" w:rsidRPr="00000000">
              <w:rPr>
                <w:b w:val="1"/>
                <w:bCs w:val="1"/>
                <w:rtl w:val="0"/>
              </w:rPr>
              <w:t xml:space="preserve">S2</w:t>
            </w:r>
            <w:r w:rsidDel="00000000" w:rsidR="00000000" w:rsidRPr="00000000">
              <w:rPr>
                <w:rtl w:val="0"/>
              </w:rPr>
            </w:r>
          </w:p>
        </w:tc>
        <w:tc>
          <w:tcPr>
            <w:shd w:fill="e2f0d9" w:val="clear"/>
            <w:tcMar>
              <w:top w:w="8.0" w:type="dxa"/>
              <w:bottom w:w="8.0" w:type="dxa"/>
            </w:tcMar>
            <w:vAlign w:val="center"/>
          </w:tcPr>
          <w:p w:rsidR="00000000" w:rsidDel="00000000" w:rsidP="00000000" w:rsidRDefault="00000000" w:rsidRPr="00000000" w14:paraId="000000E1">
            <w:pPr>
              <w:spacing w:after="0" w:lineRule="auto"/>
              <w:jc w:val="center"/>
              <w:rPr/>
            </w:pPr>
            <w:r w:rsidDel="00000000" w:rsidR="00000000" w:rsidRPr="00000000">
              <w:rPr>
                <w:b w:val="1"/>
                <w:bCs w:val="1"/>
                <w:rtl w:val="0"/>
              </w:rPr>
              <w:t xml:space="preserve">S3</w:t>
            </w:r>
            <w:r w:rsidDel="00000000" w:rsidR="00000000" w:rsidRPr="00000000">
              <w:rPr>
                <w:rtl w:val="0"/>
              </w:rPr>
            </w:r>
          </w:p>
        </w:tc>
        <w:tc>
          <w:tcPr>
            <w:shd w:fill="e2f0d9" w:val="clear"/>
            <w:tcMar>
              <w:top w:w="8.0" w:type="dxa"/>
              <w:bottom w:w="8.0" w:type="dxa"/>
            </w:tcMar>
            <w:vAlign w:val="center"/>
          </w:tcPr>
          <w:p w:rsidR="00000000" w:rsidDel="00000000" w:rsidP="00000000" w:rsidRDefault="00000000" w:rsidRPr="00000000" w14:paraId="000000E2">
            <w:pPr>
              <w:spacing w:after="0" w:lineRule="auto"/>
              <w:jc w:val="center"/>
              <w:rPr/>
            </w:pPr>
            <w:r w:rsidDel="00000000" w:rsidR="00000000" w:rsidRPr="00000000">
              <w:rPr>
                <w:b w:val="1"/>
                <w:bCs w:val="1"/>
                <w:rtl w:val="0"/>
              </w:rPr>
              <w:t xml:space="preserve">S4</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3">
            <w:pPr>
              <w:spacing w:after="0" w:lineRule="auto"/>
              <w:jc w:val="center"/>
              <w:rPr/>
            </w:pPr>
            <w:r w:rsidDel="00000000" w:rsidR="00000000" w:rsidRPr="00000000">
              <w:rPr>
                <w:b w:val="1"/>
                <w:bCs w:val="1"/>
                <w:rtl w:val="0"/>
              </w:rPr>
              <w:t xml:space="preserve">S5</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4">
            <w:pPr>
              <w:spacing w:after="0" w:lineRule="auto"/>
              <w:jc w:val="center"/>
              <w:rPr/>
            </w:pPr>
            <w:r w:rsidDel="00000000" w:rsidR="00000000" w:rsidRPr="00000000">
              <w:rPr>
                <w:b w:val="1"/>
                <w:bCs w:val="1"/>
                <w:rtl w:val="0"/>
              </w:rPr>
              <w:t xml:space="preserve">S6</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5">
            <w:pPr>
              <w:spacing w:after="0" w:lineRule="auto"/>
              <w:jc w:val="center"/>
              <w:rPr/>
            </w:pPr>
            <w:r w:rsidDel="00000000" w:rsidR="00000000" w:rsidRPr="00000000">
              <w:rPr>
                <w:b w:val="1"/>
                <w:bCs w:val="1"/>
                <w:rtl w:val="0"/>
              </w:rPr>
              <w:t xml:space="preserve">S7</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6">
            <w:pPr>
              <w:spacing w:after="0" w:lineRule="auto"/>
              <w:jc w:val="center"/>
              <w:rPr/>
            </w:pPr>
            <w:r w:rsidDel="00000000" w:rsidR="00000000" w:rsidRPr="00000000">
              <w:rPr>
                <w:b w:val="1"/>
                <w:bCs w:val="1"/>
                <w:rtl w:val="0"/>
              </w:rPr>
              <w:t xml:space="preserve">S8</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7">
            <w:pPr>
              <w:spacing w:after="0" w:lineRule="auto"/>
              <w:jc w:val="center"/>
              <w:rPr/>
            </w:pPr>
            <w:r w:rsidDel="00000000" w:rsidR="00000000" w:rsidRPr="00000000">
              <w:rPr>
                <w:b w:val="1"/>
                <w:bCs w:val="1"/>
                <w:rtl w:val="0"/>
              </w:rPr>
              <w:t xml:space="preserve">S9</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8">
            <w:pPr>
              <w:spacing w:after="0" w:lineRule="auto"/>
              <w:jc w:val="center"/>
              <w:rPr/>
            </w:pPr>
            <w:r w:rsidDel="00000000" w:rsidR="00000000" w:rsidRPr="00000000">
              <w:rPr>
                <w:b w:val="1"/>
                <w:bCs w:val="1"/>
                <w:rtl w:val="0"/>
              </w:rPr>
              <w:t xml:space="preserve">S10</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9">
            <w:pPr>
              <w:spacing w:after="0" w:lineRule="auto"/>
              <w:jc w:val="center"/>
              <w:rPr/>
            </w:pPr>
            <w:r w:rsidDel="00000000" w:rsidR="00000000" w:rsidRPr="00000000">
              <w:rPr>
                <w:b w:val="1"/>
                <w:bCs w:val="1"/>
                <w:rtl w:val="0"/>
              </w:rPr>
              <w:t xml:space="preserve">S11</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A">
            <w:pPr>
              <w:spacing w:after="0" w:lineRule="auto"/>
              <w:jc w:val="center"/>
              <w:rPr/>
            </w:pPr>
            <w:r w:rsidDel="00000000" w:rsidR="00000000" w:rsidRPr="00000000">
              <w:rPr>
                <w:b w:val="1"/>
                <w:bCs w:val="1"/>
                <w:rtl w:val="0"/>
              </w:rPr>
              <w:t xml:space="preserve">S12</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B">
            <w:pPr>
              <w:spacing w:after="0" w:lineRule="auto"/>
              <w:jc w:val="center"/>
              <w:rPr/>
            </w:pPr>
            <w:r w:rsidDel="00000000" w:rsidR="00000000" w:rsidRPr="00000000">
              <w:rPr>
                <w:b w:val="1"/>
                <w:bCs w:val="1"/>
                <w:rtl w:val="0"/>
              </w:rPr>
              <w:t xml:space="preserve">S13</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C">
            <w:pPr>
              <w:spacing w:after="0" w:lineRule="auto"/>
              <w:jc w:val="center"/>
              <w:rPr/>
            </w:pPr>
            <w:r w:rsidDel="00000000" w:rsidR="00000000" w:rsidRPr="00000000">
              <w:rPr>
                <w:b w:val="1"/>
                <w:bCs w:val="1"/>
                <w:rtl w:val="0"/>
              </w:rPr>
              <w:t xml:space="preserve">S14</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D">
            <w:pPr>
              <w:spacing w:after="0" w:lineRule="auto"/>
              <w:jc w:val="center"/>
              <w:rPr/>
            </w:pPr>
            <w:r w:rsidDel="00000000" w:rsidR="00000000" w:rsidRPr="00000000">
              <w:rPr>
                <w:b w:val="1"/>
                <w:bCs w:val="1"/>
                <w:rtl w:val="0"/>
              </w:rPr>
              <w:t xml:space="preserve">S15</w:t>
            </w:r>
            <w:r w:rsidDel="00000000" w:rsidR="00000000" w:rsidRPr="00000000">
              <w:rPr>
                <w:rtl w:val="0"/>
              </w:rPr>
            </w:r>
          </w:p>
        </w:tc>
        <w:tc>
          <w:tcPr>
            <w:shd w:fill="fce4d6" w:val="clear"/>
            <w:tcMar>
              <w:top w:w="8.0" w:type="dxa"/>
              <w:bottom w:w="8.0" w:type="dxa"/>
            </w:tcMar>
            <w:vAlign w:val="center"/>
          </w:tcPr>
          <w:p w:rsidR="00000000" w:rsidDel="00000000" w:rsidP="00000000" w:rsidRDefault="00000000" w:rsidRPr="00000000" w14:paraId="000000EE">
            <w:pPr>
              <w:spacing w:after="0" w:lineRule="auto"/>
              <w:jc w:val="center"/>
              <w:rPr/>
            </w:pPr>
            <w:r w:rsidDel="00000000" w:rsidR="00000000" w:rsidRPr="00000000">
              <w:rPr>
                <w:b w:val="1"/>
                <w:bCs w:val="1"/>
                <w:rtl w:val="0"/>
              </w:rPr>
              <w:t xml:space="preserve">S16</w:t>
            </w:r>
            <w:r w:rsidDel="00000000" w:rsidR="00000000" w:rsidRPr="00000000">
              <w:rPr>
                <w:rtl w:val="0"/>
              </w:rPr>
            </w:r>
          </w:p>
        </w:tc>
        <w:tc>
          <w:tcPr>
            <w:shd w:fill="fce4d6" w:val="clear"/>
            <w:tcMar>
              <w:top w:w="8.0" w:type="dxa"/>
              <w:bottom w:w="8.0" w:type="dxa"/>
            </w:tcMar>
            <w:vAlign w:val="center"/>
          </w:tcPr>
          <w:p w:rsidR="00000000" w:rsidDel="00000000" w:rsidP="00000000" w:rsidRDefault="00000000" w:rsidRPr="00000000" w14:paraId="000000EF">
            <w:pPr>
              <w:spacing w:after="0" w:lineRule="auto"/>
              <w:jc w:val="center"/>
              <w:rPr/>
            </w:pPr>
            <w:r w:rsidDel="00000000" w:rsidR="00000000" w:rsidRPr="00000000">
              <w:rPr>
                <w:b w:val="1"/>
                <w:bCs w:val="1"/>
                <w:rtl w:val="0"/>
              </w:rPr>
              <w:t xml:space="preserve">S17</w:t>
            </w:r>
            <w:r w:rsidDel="00000000" w:rsidR="00000000" w:rsidRPr="00000000">
              <w:rPr>
                <w:rtl w:val="0"/>
              </w:rPr>
            </w:r>
          </w:p>
        </w:tc>
        <w:tc>
          <w:tcPr>
            <w:shd w:fill="fce4d6" w:val="clear"/>
            <w:tcMar>
              <w:top w:w="8.0" w:type="dxa"/>
              <w:bottom w:w="8.0" w:type="dxa"/>
            </w:tcMar>
            <w:vAlign w:val="center"/>
          </w:tcPr>
          <w:p w:rsidR="00000000" w:rsidDel="00000000" w:rsidP="00000000" w:rsidRDefault="00000000" w:rsidRPr="00000000" w14:paraId="000000F0">
            <w:pPr>
              <w:spacing w:after="0" w:lineRule="auto"/>
              <w:jc w:val="center"/>
              <w:rPr/>
            </w:pPr>
            <w:r w:rsidDel="00000000" w:rsidR="00000000" w:rsidRPr="00000000">
              <w:rPr>
                <w:b w:val="1"/>
                <w:bCs w:val="1"/>
                <w:rtl w:val="0"/>
              </w:rPr>
              <w:t xml:space="preserve">S18</w:t>
            </w: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0F1">
            <w:pPr>
              <w:spacing w:after="0" w:lineRule="auto"/>
              <w:rPr/>
            </w:pPr>
            <w:r w:rsidDel="00000000" w:rsidR="00000000" w:rsidRPr="00000000">
              <w:rPr>
                <w:rtl w:val="0"/>
              </w:rPr>
              <w:t xml:space="preserve">Alcance MVP</w:t>
            </w:r>
          </w:p>
        </w:tc>
        <w:tc>
          <w:tcPr>
            <w:shd w:fill="d9ead3" w:val="clear"/>
            <w:tcMar>
              <w:top w:w="15.0" w:type="dxa"/>
              <w:bottom w:w="15.0" w:type="dxa"/>
            </w:tcMar>
            <w:vAlign w:val="center"/>
          </w:tcPr>
          <w:p w:rsidR="00000000" w:rsidDel="00000000" w:rsidP="00000000" w:rsidRDefault="00000000" w:rsidRPr="00000000" w14:paraId="000000F2">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0F3">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5">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6">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7">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8">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C">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D">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0">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2">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3">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04">
            <w:pPr>
              <w:spacing w:after="0" w:lineRule="auto"/>
              <w:rPr/>
            </w:pPr>
            <w:r w:rsidDel="00000000" w:rsidR="00000000" w:rsidRPr="00000000">
              <w:rPr>
                <w:rtl w:val="0"/>
              </w:rPr>
              <w:t xml:space="preserve">Diseño técnico</w:t>
            </w:r>
          </w:p>
        </w:tc>
        <w:tc>
          <w:tcPr>
            <w:tcMar>
              <w:top w:w="15.0" w:type="dxa"/>
              <w:bottom w:w="15.0" w:type="dxa"/>
            </w:tcMar>
            <w:vAlign w:val="center"/>
          </w:tcPr>
          <w:p w:rsidR="00000000" w:rsidDel="00000000" w:rsidP="00000000" w:rsidRDefault="00000000" w:rsidRPr="00000000" w14:paraId="00000105">
            <w:pPr>
              <w:spacing w:after="0" w:lineRule="auto"/>
              <w:jc w:val="center"/>
              <w:rPr/>
            </w:pP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106">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107">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108">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C">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D">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0">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2">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3">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5">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6">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17">
            <w:pPr>
              <w:spacing w:after="0" w:lineRule="auto"/>
              <w:rPr/>
            </w:pPr>
            <w:r w:rsidDel="00000000" w:rsidR="00000000" w:rsidRPr="00000000">
              <w:rPr>
                <w:rtl w:val="0"/>
              </w:rPr>
              <w:t xml:space="preserve">Backend y BD</w:t>
            </w:r>
          </w:p>
        </w:tc>
        <w:tc>
          <w:tcPr>
            <w:tcMar>
              <w:top w:w="15.0" w:type="dxa"/>
              <w:bottom w:w="15.0" w:type="dxa"/>
            </w:tcMar>
            <w:vAlign w:val="center"/>
          </w:tcPr>
          <w:p w:rsidR="00000000" w:rsidDel="00000000" w:rsidP="00000000" w:rsidRDefault="00000000" w:rsidRPr="00000000" w14:paraId="00000118">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B">
            <w:pPr>
              <w:spacing w:after="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1C">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1D">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1E">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0">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2">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3">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5">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6">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7">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8">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9">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2A">
            <w:pPr>
              <w:spacing w:after="0" w:lineRule="auto"/>
              <w:rPr/>
            </w:pPr>
            <w:r w:rsidDel="00000000" w:rsidR="00000000" w:rsidRPr="00000000">
              <w:rPr>
                <w:rtl w:val="0"/>
              </w:rPr>
              <w:t xml:space="preserve">KONEA Web</w:t>
            </w:r>
          </w:p>
        </w:tc>
        <w:tc>
          <w:tcPr>
            <w:tcMar>
              <w:top w:w="15.0" w:type="dxa"/>
              <w:bottom w:w="15.0" w:type="dxa"/>
            </w:tcMar>
            <w:vAlign w:val="center"/>
          </w:tcPr>
          <w:p w:rsidR="00000000" w:rsidDel="00000000" w:rsidP="00000000" w:rsidRDefault="00000000" w:rsidRPr="00000000" w14:paraId="0000012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C">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D">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F">
            <w:pPr>
              <w:spacing w:after="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30">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31">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32">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3">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5">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6">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7">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8">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C">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3D">
            <w:pPr>
              <w:spacing w:after="0" w:lineRule="auto"/>
              <w:rPr/>
            </w:pPr>
            <w:r w:rsidDel="00000000" w:rsidR="00000000" w:rsidRPr="00000000">
              <w:rPr>
                <w:rtl w:val="0"/>
              </w:rPr>
              <w:t xml:space="preserve">Componente de escritorio</w:t>
            </w:r>
          </w:p>
        </w:tc>
        <w:tc>
          <w:tcPr>
            <w:tcMar>
              <w:top w:w="15.0" w:type="dxa"/>
              <w:bottom w:w="15.0" w:type="dxa"/>
            </w:tcMar>
            <w:vAlign w:val="center"/>
          </w:tcPr>
          <w:p w:rsidR="00000000" w:rsidDel="00000000" w:rsidP="00000000" w:rsidRDefault="00000000" w:rsidRPr="00000000" w14:paraId="0000013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0">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2">
            <w:pPr>
              <w:spacing w:after="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43">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44">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45">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6">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7">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8">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C">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D">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F">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50">
            <w:pPr>
              <w:spacing w:after="0" w:lineRule="auto"/>
              <w:rPr/>
            </w:pPr>
            <w:r w:rsidDel="00000000" w:rsidR="00000000" w:rsidRPr="00000000">
              <w:rPr>
                <w:rtl w:val="0"/>
              </w:rPr>
              <w:t xml:space="preserve">Integración MVP</w:t>
            </w:r>
          </w:p>
        </w:tc>
        <w:tc>
          <w:tcPr>
            <w:tcMar>
              <w:top w:w="15.0" w:type="dxa"/>
              <w:bottom w:w="15.0" w:type="dxa"/>
            </w:tcMar>
            <w:vAlign w:val="center"/>
          </w:tcPr>
          <w:p w:rsidR="00000000" w:rsidDel="00000000" w:rsidP="00000000" w:rsidRDefault="00000000" w:rsidRPr="00000000" w14:paraId="0000015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2">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3">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5">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6">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7">
            <w:pPr>
              <w:spacing w:after="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58">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59">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C">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D">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0">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2">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63">
            <w:pPr>
              <w:spacing w:after="0" w:lineRule="auto"/>
              <w:rPr/>
            </w:pPr>
            <w:r w:rsidDel="00000000" w:rsidR="00000000" w:rsidRPr="00000000">
              <w:rPr>
                <w:rtl w:val="0"/>
              </w:rPr>
              <w:t xml:space="preserve">Dashboard</w:t>
            </w:r>
          </w:p>
        </w:tc>
        <w:tc>
          <w:tcPr>
            <w:tcMar>
              <w:top w:w="15.0" w:type="dxa"/>
              <w:bottom w:w="15.0" w:type="dxa"/>
            </w:tcMar>
            <w:vAlign w:val="center"/>
          </w:tcPr>
          <w:p w:rsidR="00000000" w:rsidDel="00000000" w:rsidP="00000000" w:rsidRDefault="00000000" w:rsidRPr="00000000" w14:paraId="0000016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5">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6">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7">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8">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C">
            <w:pPr>
              <w:spacing w:after="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6D">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6E">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0">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2">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3">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5">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76">
            <w:pPr>
              <w:spacing w:after="0" w:lineRule="auto"/>
              <w:rPr/>
            </w:pPr>
            <w:r w:rsidDel="00000000" w:rsidR="00000000" w:rsidRPr="00000000">
              <w:rPr>
                <w:rtl w:val="0"/>
              </w:rPr>
              <w:t xml:space="preserve">Calidad y entorno</w:t>
            </w:r>
          </w:p>
        </w:tc>
        <w:tc>
          <w:tcPr>
            <w:tcMar>
              <w:top w:w="15.0" w:type="dxa"/>
              <w:bottom w:w="15.0" w:type="dxa"/>
            </w:tcMar>
            <w:vAlign w:val="center"/>
          </w:tcPr>
          <w:p w:rsidR="00000000" w:rsidDel="00000000" w:rsidP="00000000" w:rsidRDefault="00000000" w:rsidRPr="00000000" w14:paraId="00000177">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8">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C">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D">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0">
            <w:pPr>
              <w:spacing w:after="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81">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82">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83">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5">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6">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7">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8">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89">
            <w:pPr>
              <w:spacing w:after="0" w:lineRule="auto"/>
              <w:rPr/>
            </w:pPr>
            <w:r w:rsidDel="00000000" w:rsidR="00000000" w:rsidRPr="00000000">
              <w:rPr>
                <w:rtl w:val="0"/>
              </w:rPr>
              <w:t xml:space="preserve">Entrega final</w:t>
            </w:r>
          </w:p>
        </w:tc>
        <w:tc>
          <w:tcPr>
            <w:tcMar>
              <w:top w:w="15.0" w:type="dxa"/>
              <w:bottom w:w="15.0" w:type="dxa"/>
            </w:tcMar>
            <w:vAlign w:val="center"/>
          </w:tcPr>
          <w:p w:rsidR="00000000" w:rsidDel="00000000" w:rsidP="00000000" w:rsidRDefault="00000000" w:rsidRPr="00000000" w14:paraId="0000018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B">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C">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D">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0">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2">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3">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5">
            <w:pPr>
              <w:spacing w:after="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96">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97">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98">
            <w:pPr>
              <w:spacing w:after="0" w:lineRule="auto"/>
              <w:jc w:val="center"/>
              <w:rPr/>
            </w:pPr>
            <w:r w:rsidDel="00000000" w:rsidR="00000000" w:rsidRPr="00000000">
              <w:rPr>
                <w:b w:val="1"/>
                <w:bCs w:val="1"/>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B">
            <w:pPr>
              <w:spacing w:after="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9C">
            <w:pPr>
              <w:spacing w:after="0" w:lineRule="auto"/>
              <w:rPr/>
            </w:pPr>
            <w:r w:rsidDel="00000000" w:rsidR="00000000" w:rsidRPr="00000000">
              <w:rPr>
                <w:rtl w:val="0"/>
              </w:rPr>
              <w:t xml:space="preserve">Defensa</w:t>
            </w:r>
          </w:p>
        </w:tc>
        <w:tc>
          <w:tcPr>
            <w:tcMar>
              <w:top w:w="15.0" w:type="dxa"/>
              <w:bottom w:w="15.0" w:type="dxa"/>
            </w:tcMar>
            <w:vAlign w:val="center"/>
          </w:tcPr>
          <w:p w:rsidR="00000000" w:rsidDel="00000000" w:rsidP="00000000" w:rsidRDefault="00000000" w:rsidRPr="00000000" w14:paraId="0000019D">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E">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F">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0">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1">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2">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3">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4">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5">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6">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7">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8">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9">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A">
            <w:pPr>
              <w:spacing w:after="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B">
            <w:pPr>
              <w:spacing w:after="0" w:lineRule="auto"/>
              <w:jc w:val="center"/>
              <w:rPr/>
            </w:pPr>
            <w:r w:rsidDel="00000000" w:rsidR="00000000" w:rsidRPr="00000000">
              <w:rPr>
                <w:rtl w:val="0"/>
              </w:rPr>
            </w:r>
          </w:p>
        </w:tc>
        <w:tc>
          <w:tcPr>
            <w:shd w:fill="f4cccc" w:val="clear"/>
            <w:tcMar>
              <w:top w:w="15.0" w:type="dxa"/>
              <w:bottom w:w="15.0" w:type="dxa"/>
            </w:tcMar>
            <w:vAlign w:val="center"/>
          </w:tcPr>
          <w:p w:rsidR="00000000" w:rsidDel="00000000" w:rsidP="00000000" w:rsidRDefault="00000000" w:rsidRPr="00000000" w14:paraId="000001AC">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4cccc" w:val="clear"/>
            <w:tcMar>
              <w:top w:w="15.0" w:type="dxa"/>
              <w:bottom w:w="15.0" w:type="dxa"/>
            </w:tcMar>
            <w:vAlign w:val="center"/>
          </w:tcPr>
          <w:p w:rsidR="00000000" w:rsidDel="00000000" w:rsidP="00000000" w:rsidRDefault="00000000" w:rsidRPr="00000000" w14:paraId="000001AD">
            <w:pPr>
              <w:spacing w:after="0" w:lineRule="auto"/>
              <w:jc w:val="center"/>
              <w:rPr/>
            </w:pPr>
            <w:r w:rsidDel="00000000" w:rsidR="00000000" w:rsidRPr="00000000">
              <w:rPr>
                <w:b w:val="1"/>
                <w:bCs w:val="1"/>
                <w:rtl w:val="0"/>
              </w:rPr>
              <w:t xml:space="preserve">X</w:t>
            </w:r>
            <w:r w:rsidDel="00000000" w:rsidR="00000000" w:rsidRPr="00000000">
              <w:rPr>
                <w:rtl w:val="0"/>
              </w:rPr>
            </w:r>
          </w:p>
        </w:tc>
        <w:tc>
          <w:tcPr>
            <w:shd w:fill="f4cccc" w:val="clear"/>
            <w:tcMar>
              <w:top w:w="15.0" w:type="dxa"/>
              <w:bottom w:w="15.0" w:type="dxa"/>
            </w:tcMar>
            <w:vAlign w:val="center"/>
          </w:tcPr>
          <w:p w:rsidR="00000000" w:rsidDel="00000000" w:rsidP="00000000" w:rsidRDefault="00000000" w:rsidRPr="00000000" w14:paraId="000001AE">
            <w:pPr>
              <w:spacing w:after="0" w:lineRule="auto"/>
              <w:jc w:val="center"/>
              <w:rPr/>
            </w:pPr>
            <w:r w:rsidDel="00000000" w:rsidR="00000000" w:rsidRPr="00000000">
              <w:rPr>
                <w:b w:val="1"/>
                <w:bCs w:val="1"/>
                <w:rtl w:val="0"/>
              </w:rPr>
              <w:t xml:space="preserve">X</w:t>
            </w:r>
            <w:r w:rsidDel="00000000" w:rsidR="00000000" w:rsidRPr="00000000">
              <w:rPr>
                <w:rtl w:val="0"/>
              </w:rPr>
            </w:r>
          </w:p>
        </w:tc>
      </w:tr>
    </w:tbl>
    <w:p w:rsidR="00000000" w:rsidDel="00000000" w:rsidP="00000000" w:rsidRDefault="00000000" w:rsidRPr="00000000" w14:paraId="000001AF">
      <w:pPr>
        <w:rPr>
          <w:b w:val="1"/>
          <w:bCs w:val="1"/>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IdAYDoR5Bxk3uAT8ZV9skmkFQ==">CgMxLjA4AHIhMXcxUGgwel9FeElCNFFnNUxqeVdZRk9ZcHMwTnYyOGVG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2026-08-19T18:13:00Z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