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8F63" w14:textId="77777777" w:rsidR="00000000" w:rsidRDefault="00000000" w:rsidP="001202BF">
      <w:pPr>
        <w:spacing w:after="2640" w:line="20" w:lineRule="exact"/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390B70" w14:textId="77777777" w:rsidR="00510C7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eastAsia="Calibri" w:cs="Calibri"/>
                                  <w:b/>
                                  <w:color w:val="1F3864"/>
                                  <w:sz w:val="46"/>
                                  <w:lang w:val="es-CL"/>
                                </w:rPr>
                                <w:t>04. Manual técnico</w:t>
                              </w:r>
                              <w:r>
                                <w:br/>
                              </w:r>
                              <w:r>
                                <w:rPr>
                                  <w:rFonts w:eastAsia="Calibri" w:cs="Calibri"/>
                                  <w:b/>
                                  <w:color w:val="1F3864"/>
                                  <w:sz w:val="46"/>
                                  <w:lang w:val="es-CL"/>
                                </w:rPr>
                                <w:t>y de despliegue</w:t>
                              </w:r>
                            </w:p>
                            <w:p w14:paraId="36789C0F" w14:textId="77777777" w:rsidR="00510C7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eastAsia="Calibri" w:cs="Calibri"/>
                                  <w:b/>
                                  <w:color w:val="1F3864"/>
                                  <w:sz w:val="46"/>
                                  <w:lang w:val="es-CL"/>
                                </w:rPr>
                                <w:t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B390B70" w14:textId="77777777" w:rsidR="00510C7F" w:rsidRDefault="00000000">
                        <w:pPr>
                          <w:spacing w:after="0" w:line="240" w:lineRule="auto"/>
                        </w:pPr>
                        <w:r>
                          <w:rPr>
                            <w:rFonts w:eastAsia="Calibri" w:cs="Calibri"/>
                            <w:b/>
                            <w:color w:val="1F3864"/>
                            <w:sz w:val="46"/>
                            <w:lang w:val="es-CL"/>
                          </w:rPr>
                          <w:t>04. Manual técnico</w:t>
                        </w:r>
                        <w:r>
                          <w:br/>
                        </w:r>
                        <w:r>
                          <w:rPr>
                            <w:rFonts w:eastAsia="Calibri" w:cs="Calibri"/>
                            <w:b/>
                            <w:color w:val="1F3864"/>
                            <w:sz w:val="46"/>
                            <w:lang w:val="es-CL"/>
                          </w:rPr>
                          <w:t>y de despliegue</w:t>
                        </w:r>
                      </w:p>
                      <w:p w14:paraId="36789C0F" w14:textId="77777777" w:rsidR="00510C7F" w:rsidRDefault="00000000">
                        <w:pPr>
                          <w:spacing w:after="0" w:line="240" w:lineRule="auto"/>
                        </w:pPr>
                        <w:r>
                          <w:rPr>
                            <w:rFonts w:eastAsia="Calibri" w:cs="Calibri"/>
                            <w:b/>
                            <w:color w:val="1F3864"/>
                            <w:sz w:val="46"/>
                            <w:lang w:val="es-CL"/>
                          </w:rPr>
                          <w:t>Asignatura 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" fillcolor="#243f60 [1604]" stroked="f" strokeweight="2pt"/>
                <w10:wrap anchorx="margin"/>
              </v:group>
            </w:pict>
          </mc:Fallback>
        </mc:AlternateContent>
      </w:r>
    </w:p>
    <w:p w14:paraId="31087D57" w14:textId="77777777" w:rsidR="00510C7F" w:rsidRDefault="00000000">
      <w:pPr>
        <w:pStyle w:val="APTProyecto"/>
      </w:pPr>
      <w:r>
        <w:rPr>
          <w:rFonts w:eastAsia="Calibri" w:cs="Calibri"/>
          <w:lang w:val="es-CL"/>
        </w:rPr>
        <w:t>Konea Focus</w:t>
      </w:r>
    </w:p>
    <w:p w14:paraId="2DBD4B2C" w14:textId="77777777" w:rsidR="00510C7F" w:rsidRDefault="00000000">
      <w:pPr>
        <w:pStyle w:val="APTSubttulo"/>
      </w:pPr>
      <w:r>
        <w:rPr>
          <w:rFonts w:eastAsia="Calibri" w:cs="Calibri"/>
          <w:lang w:val="es-CL"/>
        </w:rPr>
        <w:t>Instalación local, operación, calidad y recuperación</w:t>
      </w:r>
    </w:p>
    <w:p w14:paraId="51F9A549" w14:textId="77777777" w:rsidR="00510C7F" w:rsidRDefault="00510C7F">
      <w:pPr>
        <w:pStyle w:val="APTTexto"/>
        <w:spacing w:after="60" w:line="20" w:lineRule="exact"/>
      </w:pP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466"/>
        <w:gridCol w:w="6038"/>
      </w:tblGrid>
      <w:tr w:rsidR="00510C7F" w14:paraId="28334892" w14:textId="77777777">
        <w:trPr>
          <w:cantSplit/>
          <w:tblHeader/>
        </w:trPr>
        <w:tc>
          <w:tcPr>
            <w:tcW w:w="2466" w:type="dxa"/>
            <w:shd w:val="clear" w:color="auto" w:fill="D9E2F3"/>
          </w:tcPr>
          <w:p w14:paraId="7146B43D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Control</w:t>
            </w:r>
          </w:p>
        </w:tc>
        <w:tc>
          <w:tcPr>
            <w:tcW w:w="6038" w:type="dxa"/>
            <w:shd w:val="clear" w:color="auto" w:fill="D9E2F3"/>
          </w:tcPr>
          <w:p w14:paraId="407D7661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Valor</w:t>
            </w:r>
          </w:p>
        </w:tc>
      </w:tr>
      <w:tr w:rsidR="00510C7F" w14:paraId="07507545" w14:textId="77777777">
        <w:trPr>
          <w:cantSplit/>
        </w:trPr>
        <w:tc>
          <w:tcPr>
            <w:tcW w:w="2466" w:type="dxa"/>
            <w:shd w:val="clear" w:color="auto" w:fill="FFFFFF"/>
          </w:tcPr>
          <w:p w14:paraId="5273E101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Versión</w:t>
            </w:r>
          </w:p>
        </w:tc>
        <w:tc>
          <w:tcPr>
            <w:tcW w:w="6038" w:type="dxa"/>
            <w:shd w:val="clear" w:color="auto" w:fill="FFFFFF"/>
          </w:tcPr>
          <w:p w14:paraId="428BC6A5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2.0</w:t>
            </w:r>
          </w:p>
        </w:tc>
      </w:tr>
      <w:tr w:rsidR="00510C7F" w14:paraId="1133B2A6" w14:textId="77777777">
        <w:trPr>
          <w:cantSplit/>
        </w:trPr>
        <w:tc>
          <w:tcPr>
            <w:tcW w:w="2466" w:type="dxa"/>
            <w:shd w:val="clear" w:color="auto" w:fill="FFFFFF"/>
          </w:tcPr>
          <w:p w14:paraId="34AF9CED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Fecha de corte</w:t>
            </w:r>
          </w:p>
        </w:tc>
        <w:tc>
          <w:tcPr>
            <w:tcW w:w="6038" w:type="dxa"/>
            <w:shd w:val="clear" w:color="auto" w:fill="FFFFFF"/>
          </w:tcPr>
          <w:p w14:paraId="5024072A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6 de octubre de 2026</w:t>
            </w:r>
          </w:p>
        </w:tc>
      </w:tr>
      <w:tr w:rsidR="00510C7F" w14:paraId="4E80DAFB" w14:textId="77777777">
        <w:trPr>
          <w:cantSplit/>
        </w:trPr>
        <w:tc>
          <w:tcPr>
            <w:tcW w:w="2466" w:type="dxa"/>
            <w:shd w:val="clear" w:color="auto" w:fill="FFFFFF"/>
          </w:tcPr>
          <w:p w14:paraId="07593C5C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Asignatura</w:t>
            </w:r>
          </w:p>
        </w:tc>
        <w:tc>
          <w:tcPr>
            <w:tcW w:w="6038" w:type="dxa"/>
            <w:shd w:val="clear" w:color="auto" w:fill="FFFFFF"/>
          </w:tcPr>
          <w:p w14:paraId="056D55CA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Capstone · Ingeniería en Informática</w:t>
            </w:r>
          </w:p>
        </w:tc>
      </w:tr>
      <w:tr w:rsidR="00510C7F" w14:paraId="1AB20FF1" w14:textId="77777777">
        <w:trPr>
          <w:cantSplit/>
        </w:trPr>
        <w:tc>
          <w:tcPr>
            <w:tcW w:w="2466" w:type="dxa"/>
            <w:shd w:val="clear" w:color="auto" w:fill="FFFFFF"/>
          </w:tcPr>
          <w:p w14:paraId="405DBCA7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Sede / sección</w:t>
            </w:r>
          </w:p>
        </w:tc>
        <w:tc>
          <w:tcPr>
            <w:tcW w:w="6038" w:type="dxa"/>
            <w:shd w:val="clear" w:color="auto" w:fill="FFFFFF"/>
          </w:tcPr>
          <w:p w14:paraId="671B3AF7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San Joaquín · 002D</w:t>
            </w:r>
          </w:p>
        </w:tc>
      </w:tr>
      <w:tr w:rsidR="00510C7F" w14:paraId="3CEE510C" w14:textId="77777777">
        <w:trPr>
          <w:cantSplit/>
        </w:trPr>
        <w:tc>
          <w:tcPr>
            <w:tcW w:w="2466" w:type="dxa"/>
            <w:shd w:val="clear" w:color="auto" w:fill="FFFFFF"/>
          </w:tcPr>
          <w:p w14:paraId="3C1A4DD8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Equipo</w:t>
            </w:r>
          </w:p>
        </w:tc>
        <w:tc>
          <w:tcPr>
            <w:tcW w:w="6038" w:type="dxa"/>
            <w:shd w:val="clear" w:color="auto" w:fill="FFFFFF"/>
          </w:tcPr>
          <w:p w14:paraId="58292146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Oscar Callejas · Hilary Torres · Danae Muñoz</w:t>
            </w:r>
          </w:p>
        </w:tc>
      </w:tr>
      <w:tr w:rsidR="00510C7F" w14:paraId="5BB8503A" w14:textId="77777777">
        <w:trPr>
          <w:cantSplit/>
        </w:trPr>
        <w:tc>
          <w:tcPr>
            <w:tcW w:w="2466" w:type="dxa"/>
            <w:shd w:val="clear" w:color="auto" w:fill="FFFFFF"/>
          </w:tcPr>
          <w:p w14:paraId="1DA8124D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Estado</w:t>
            </w:r>
          </w:p>
        </w:tc>
        <w:tc>
          <w:tcPr>
            <w:tcW w:w="6038" w:type="dxa"/>
            <w:shd w:val="clear" w:color="auto" w:fill="FFFFFF"/>
          </w:tcPr>
          <w:p w14:paraId="53D2DEC0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Procedimiento local verificado; despliegue productivo pendiente.</w:t>
            </w:r>
          </w:p>
        </w:tc>
      </w:tr>
    </w:tbl>
    <w:p w14:paraId="48EAB12A" w14:textId="77777777" w:rsidR="00510C7F" w:rsidRDefault="00510C7F">
      <w:pPr>
        <w:pStyle w:val="APTTexto"/>
        <w:spacing w:after="60" w:line="20" w:lineRule="exact"/>
      </w:pPr>
    </w:p>
    <w:p w14:paraId="6E9B67E7" w14:textId="77777777" w:rsidR="00510C7F" w:rsidRDefault="00000000">
      <w:pPr>
        <w:pStyle w:val="APTLeyenda"/>
      </w:pPr>
      <w:r>
        <w:rPr>
          <w:rFonts w:eastAsia="Calibri" w:cs="Calibri"/>
          <w:i/>
          <w:lang w:val="es-CL"/>
        </w:rPr>
        <w:t>Documento editable para revisión del equipo. No sustituye la aceptación docente ni acredita un despliegue productivo.</w:t>
      </w:r>
    </w:p>
    <w:p w14:paraId="5AEE0C57" w14:textId="77777777" w:rsidR="00510C7F" w:rsidRDefault="00000000">
      <w:pPr>
        <w:pStyle w:val="APTTexto"/>
        <w:spacing w:after="0" w:line="20" w:lineRule="exact"/>
      </w:pPr>
      <w:r>
        <w:rPr>
          <w:rFonts w:eastAsia="Calibri" w:cs="Calibri"/>
          <w:sz w:val="2"/>
          <w:lang w:val="es-CL"/>
        </w:rPr>
        <w:br w:type="page"/>
      </w:r>
    </w:p>
    <w:sdt>
      <w:sdtPr>
        <w:rPr>
          <w:lang w:val="es-ES"/>
        </w:rPr>
        <w:id w:val="-541435809"/>
        <w:docPartObj>
          <w:docPartGallery w:val="Table of Contents"/>
          <w:docPartUnique/>
        </w:docPartObj>
      </w:sdtPr>
      <w:sdtEndPr>
        <w:rPr>
          <w:rFonts w:ascii="Calibri" w:eastAsia="Aptos" w:hAnsi="Calibri" w:cstheme="minorBidi"/>
          <w:color w:val="202020"/>
          <w:sz w:val="22"/>
          <w:szCs w:val="22"/>
        </w:rPr>
      </w:sdtEndPr>
      <w:sdtContent>
        <w:p w14:paraId="588AD9C8" w14:textId="195869C1" w:rsidR="00F840B5" w:rsidRDefault="00F840B5">
          <w:pPr>
            <w:pStyle w:val="TtuloTDC"/>
          </w:pPr>
          <w:r>
            <w:rPr>
              <w:lang w:val="es-ES"/>
            </w:rPr>
            <w:t>Contenido</w:t>
          </w:r>
        </w:p>
        <w:p w14:paraId="57B1A158" w14:textId="2A32819D" w:rsidR="00F840B5" w:rsidRDefault="00F840B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30323" w:history="1">
            <w:r w:rsidRPr="0026409E">
              <w:rPr>
                <w:rStyle w:val="Hipervnculo"/>
                <w:rFonts w:eastAsia="Calibri" w:cs="Calibri"/>
                <w:noProof/>
                <w:lang w:val="es-CL"/>
              </w:rPr>
              <w:t>1. Alcance, prerrequisitos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78770" w14:textId="07670D9A" w:rsidR="00F840B5" w:rsidRDefault="00F840B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30324" w:history="1">
            <w:r w:rsidRPr="0026409E">
              <w:rPr>
                <w:rStyle w:val="Hipervnculo"/>
                <w:rFonts w:eastAsia="Calibri" w:cs="Calibri"/>
                <w:noProof/>
                <w:lang w:val="es-CL"/>
              </w:rPr>
              <w:t>2. Inicio recomendado con iniciar.bat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3C5CD" w14:textId="5FC66E48" w:rsidR="00F840B5" w:rsidRDefault="00F840B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30325" w:history="1">
            <w:r w:rsidRPr="0026409E">
              <w:rPr>
                <w:rStyle w:val="Hipervnculo"/>
                <w:rFonts w:eastAsia="Calibri" w:cs="Calibri"/>
                <w:noProof/>
                <w:lang w:val="es-CL"/>
              </w:rPr>
              <w:t>2.1 Solo preparar 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83BD1" w14:textId="3BFA3AE9" w:rsidR="00F840B5" w:rsidRDefault="00F840B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30326" w:history="1">
            <w:r w:rsidRPr="0026409E">
              <w:rPr>
                <w:rStyle w:val="Hipervnculo"/>
                <w:rFonts w:eastAsia="Calibri" w:cs="Calibri"/>
                <w:noProof/>
                <w:lang w:val="es-CL"/>
              </w:rPr>
              <w:t>3. Configuración manual y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B7B98" w14:textId="297CCB85" w:rsidR="00F840B5" w:rsidRDefault="00F840B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30327" w:history="1">
            <w:r w:rsidRPr="0026409E">
              <w:rPr>
                <w:rStyle w:val="Hipervnculo"/>
                <w:rFonts w:eastAsia="Calibri" w:cs="Calibri"/>
                <w:noProof/>
                <w:lang w:val="es-CL"/>
              </w:rPr>
              <w:t>4. DUCO: reglas, Ollama y OpenAI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158AC" w14:textId="79024F30" w:rsidR="00F840B5" w:rsidRDefault="00F840B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30328" w:history="1">
            <w:r w:rsidRPr="0026409E">
              <w:rPr>
                <w:rStyle w:val="Hipervnculo"/>
                <w:rFonts w:eastAsia="Calibri" w:cs="Calibri"/>
                <w:noProof/>
                <w:lang w:val="es-CL"/>
              </w:rPr>
              <w:t>5. FocusBuddy web y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3B240" w14:textId="19E12DF2" w:rsidR="00F840B5" w:rsidRDefault="00F840B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30329" w:history="1">
            <w:r w:rsidRPr="0026409E">
              <w:rPr>
                <w:rStyle w:val="Hipervnculo"/>
                <w:rFonts w:eastAsia="Calibri" w:cs="Calibri"/>
                <w:noProof/>
                <w:lang w:val="es-CL"/>
              </w:rPr>
              <w:t>6. Calidad y pruebas aisladas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A0D14" w14:textId="67B3CE89" w:rsidR="00F840B5" w:rsidRDefault="00F840B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30330" w:history="1">
            <w:r w:rsidRPr="0026409E">
              <w:rPr>
                <w:rStyle w:val="Hipervnculo"/>
                <w:rFonts w:eastAsia="Calibri" w:cs="Calibri"/>
                <w:noProof/>
                <w:lang w:val="es-CL"/>
              </w:rPr>
              <w:t>7. Base de datos, respaldo y restauración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48B35" w14:textId="4B2EC7D7" w:rsidR="00F840B5" w:rsidRDefault="00F840B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30331" w:history="1">
            <w:r w:rsidRPr="0026409E">
              <w:rPr>
                <w:rStyle w:val="Hipervnculo"/>
                <w:rFonts w:eastAsia="Calibri" w:cs="Calibri"/>
                <w:noProof/>
                <w:lang w:val="es-CL"/>
              </w:rPr>
              <w:t>7.1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D7361" w14:textId="33CA0C73" w:rsidR="00F840B5" w:rsidRDefault="00F840B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30332" w:history="1">
            <w:r w:rsidRPr="0026409E">
              <w:rPr>
                <w:rStyle w:val="Hipervnculo"/>
                <w:rFonts w:eastAsia="Calibri" w:cs="Calibri"/>
                <w:noProof/>
                <w:lang w:val="es-CL"/>
              </w:rPr>
              <w:t>7.2 Respaldo binario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02548" w14:textId="34C0CB4C" w:rsidR="00F840B5" w:rsidRDefault="00F840B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30333" w:history="1">
            <w:r w:rsidRPr="0026409E">
              <w:rPr>
                <w:rStyle w:val="Hipervnculo"/>
                <w:rFonts w:eastAsia="Calibri" w:cs="Calibri"/>
                <w:noProof/>
                <w:lang w:val="es-CL"/>
              </w:rPr>
              <w:t>7.3 Restaurar sin sobrescribir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31B36" w14:textId="3E72C4E7" w:rsidR="00F840B5" w:rsidRDefault="00F840B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30334" w:history="1">
            <w:r w:rsidRPr="0026409E">
              <w:rPr>
                <w:rStyle w:val="Hipervnculo"/>
                <w:rFonts w:eastAsia="Calibri" w:cs="Calibri"/>
                <w:noProof/>
                <w:lang w:val="es-CL"/>
              </w:rPr>
              <w:t>8. Empaquetado y publicación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E1B9" w14:textId="065ABDB8" w:rsidR="00F840B5" w:rsidRDefault="00F840B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30335" w:history="1">
            <w:r w:rsidRPr="0026409E">
              <w:rPr>
                <w:rStyle w:val="Hipervnculo"/>
                <w:rFonts w:eastAsia="Calibri" w:cs="Calibri"/>
                <w:noProof/>
                <w:lang w:val="es-CL"/>
              </w:rPr>
              <w:t>9. Diagnóstico y detención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B60C1" w14:textId="73A34EE7" w:rsidR="00F840B5" w:rsidRDefault="00F840B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30336" w:history="1">
            <w:r w:rsidRPr="0026409E">
              <w:rPr>
                <w:rStyle w:val="Hipervnculo"/>
                <w:rFonts w:eastAsia="Calibri" w:cs="Calibri"/>
                <w:noProof/>
                <w:lang w:val="es-CL"/>
              </w:rPr>
              <w:t>10. Límites productivos y lista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1B296" w14:textId="5B16EB94" w:rsidR="00F840B5" w:rsidRDefault="00F840B5">
          <w:r>
            <w:rPr>
              <w:b/>
              <w:bCs/>
              <w:lang w:val="es-ES"/>
            </w:rPr>
            <w:fldChar w:fldCharType="end"/>
          </w:r>
        </w:p>
      </w:sdtContent>
    </w:sdt>
    <w:p w14:paraId="5108A328" w14:textId="77777777" w:rsidR="00510C7F" w:rsidRDefault="00000000">
      <w:pPr>
        <w:pStyle w:val="APTTexto"/>
        <w:spacing w:after="0" w:line="20" w:lineRule="exact"/>
      </w:pPr>
      <w:r>
        <w:rPr>
          <w:rFonts w:eastAsia="Calibri" w:cs="Calibri"/>
          <w:sz w:val="2"/>
          <w:lang w:val="es-CL"/>
        </w:rPr>
        <w:br w:type="page"/>
      </w:r>
    </w:p>
    <w:p w14:paraId="53680B06" w14:textId="77777777" w:rsidR="00510C7F" w:rsidRDefault="00000000">
      <w:pPr>
        <w:pStyle w:val="Ttulo1"/>
      </w:pPr>
      <w:bookmarkStart w:id="0" w:name="_Toc242230323"/>
      <w:r>
        <w:rPr>
          <w:rFonts w:ascii="Calibri" w:eastAsia="Calibri" w:hAnsi="Calibri" w:cs="Calibri"/>
          <w:lang w:val="es-CL"/>
        </w:rPr>
        <w:lastRenderedPageBreak/>
        <w:t>1. Alcance, prerrequisitos y seguridad</w:t>
      </w:r>
      <w:bookmarkEnd w:id="0"/>
    </w:p>
    <w:p w14:paraId="597BC8AF" w14:textId="77777777" w:rsidR="00510C7F" w:rsidRDefault="00000000">
      <w:pPr>
        <w:pStyle w:val="APTTexto"/>
      </w:pPr>
      <w:r>
        <w:rPr>
          <w:rFonts w:eastAsia="Calibri" w:cs="Calibri"/>
          <w:lang w:val="es-CL"/>
        </w:rPr>
        <w:t>Este manual ejecuta Konea Focus en Windows para desarrollo y demostración. Web y API se ejecutan en el host; Docker Compose aloja PostgreSQL. FocusBuddy puede abrirse en navegador o como cliente Electron. El procedimiento no convierte localhost en un servicio productivo.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466"/>
        <w:gridCol w:w="6038"/>
      </w:tblGrid>
      <w:tr w:rsidR="00510C7F" w14:paraId="19674902" w14:textId="77777777">
        <w:trPr>
          <w:cantSplit/>
          <w:tblHeader/>
        </w:trPr>
        <w:tc>
          <w:tcPr>
            <w:tcW w:w="2466" w:type="dxa"/>
            <w:shd w:val="clear" w:color="auto" w:fill="D9E2F3"/>
          </w:tcPr>
          <w:p w14:paraId="7CCEC3CD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Herramienta</w:t>
            </w:r>
          </w:p>
        </w:tc>
        <w:tc>
          <w:tcPr>
            <w:tcW w:w="6038" w:type="dxa"/>
            <w:shd w:val="clear" w:color="auto" w:fill="D9E2F3"/>
          </w:tcPr>
          <w:p w14:paraId="233A94B2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Mínimo / uso</w:t>
            </w:r>
          </w:p>
        </w:tc>
      </w:tr>
      <w:tr w:rsidR="00510C7F" w14:paraId="39C33411" w14:textId="77777777">
        <w:trPr>
          <w:cantSplit/>
        </w:trPr>
        <w:tc>
          <w:tcPr>
            <w:tcW w:w="2466" w:type="dxa"/>
            <w:shd w:val="clear" w:color="auto" w:fill="FFFFFF"/>
          </w:tcPr>
          <w:p w14:paraId="2A688B20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Windows 10/11 x64</w:t>
            </w:r>
          </w:p>
        </w:tc>
        <w:tc>
          <w:tcPr>
            <w:tcW w:w="6038" w:type="dxa"/>
            <w:shd w:val="clear" w:color="auto" w:fill="FFFFFF"/>
          </w:tcPr>
          <w:p w14:paraId="07AE0359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Entorno usado por el launcher y el instalador NSIS.</w:t>
            </w:r>
          </w:p>
        </w:tc>
      </w:tr>
      <w:tr w:rsidR="00510C7F" w14:paraId="76D81BC0" w14:textId="77777777">
        <w:trPr>
          <w:cantSplit/>
        </w:trPr>
        <w:tc>
          <w:tcPr>
            <w:tcW w:w="2466" w:type="dxa"/>
            <w:shd w:val="clear" w:color="auto" w:fill="FFFFFF"/>
          </w:tcPr>
          <w:p w14:paraId="10B135A3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Node.js</w:t>
            </w:r>
          </w:p>
        </w:tc>
        <w:tc>
          <w:tcPr>
            <w:tcW w:w="6038" w:type="dxa"/>
            <w:shd w:val="clear" w:color="auto" w:fill="FFFFFF"/>
          </w:tcPr>
          <w:p w14:paraId="7963704C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22.12 o superior. Corte verificado: v24.15.0.</w:t>
            </w:r>
          </w:p>
        </w:tc>
      </w:tr>
      <w:tr w:rsidR="00510C7F" w14:paraId="58329DEB" w14:textId="77777777">
        <w:trPr>
          <w:cantSplit/>
        </w:trPr>
        <w:tc>
          <w:tcPr>
            <w:tcW w:w="2466" w:type="dxa"/>
            <w:shd w:val="clear" w:color="auto" w:fill="FFFFFF"/>
          </w:tcPr>
          <w:p w14:paraId="5BAD9699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npm</w:t>
            </w:r>
          </w:p>
        </w:tc>
        <w:tc>
          <w:tcPr>
            <w:tcW w:w="6038" w:type="dxa"/>
            <w:shd w:val="clear" w:color="auto" w:fill="FFFFFF"/>
          </w:tcPr>
          <w:p w14:paraId="2D77638B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11 o superior. Corte verificado: 11.12.1.</w:t>
            </w:r>
          </w:p>
        </w:tc>
      </w:tr>
      <w:tr w:rsidR="00510C7F" w14:paraId="27B4A235" w14:textId="77777777">
        <w:trPr>
          <w:cantSplit/>
        </w:trPr>
        <w:tc>
          <w:tcPr>
            <w:tcW w:w="2466" w:type="dxa"/>
            <w:shd w:val="clear" w:color="auto" w:fill="FFFFFF"/>
          </w:tcPr>
          <w:p w14:paraId="28E112B8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Docker Desktop + Compose</w:t>
            </w:r>
          </w:p>
        </w:tc>
        <w:tc>
          <w:tcPr>
            <w:tcW w:w="6038" w:type="dxa"/>
            <w:shd w:val="clear" w:color="auto" w:fill="FFFFFF"/>
          </w:tcPr>
          <w:p w14:paraId="5D97E838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PostgreSQL 17 y volumen local. Virtualización/WSL2 operativos.</w:t>
            </w:r>
          </w:p>
        </w:tc>
      </w:tr>
      <w:tr w:rsidR="00510C7F" w14:paraId="43C2BE5A" w14:textId="77777777">
        <w:trPr>
          <w:cantSplit/>
        </w:trPr>
        <w:tc>
          <w:tcPr>
            <w:tcW w:w="2466" w:type="dxa"/>
            <w:shd w:val="clear" w:color="auto" w:fill="FFFFFF"/>
          </w:tcPr>
          <w:p w14:paraId="57BF9A61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Git</w:t>
            </w:r>
          </w:p>
        </w:tc>
        <w:tc>
          <w:tcPr>
            <w:tcW w:w="6038" w:type="dxa"/>
            <w:shd w:val="clear" w:color="auto" w:fill="FFFFFF"/>
          </w:tcPr>
          <w:p w14:paraId="6C924DE2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Recomendado para identificar commit y colaboración.</w:t>
            </w:r>
          </w:p>
        </w:tc>
      </w:tr>
      <w:tr w:rsidR="00510C7F" w14:paraId="10C2E063" w14:textId="77777777">
        <w:trPr>
          <w:cantSplit/>
        </w:trPr>
        <w:tc>
          <w:tcPr>
            <w:tcW w:w="2466" w:type="dxa"/>
            <w:shd w:val="clear" w:color="auto" w:fill="FFFFFF"/>
          </w:tcPr>
          <w:p w14:paraId="210D683A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Ollama</w:t>
            </w:r>
          </w:p>
        </w:tc>
        <w:tc>
          <w:tcPr>
            <w:tcW w:w="6038" w:type="dxa"/>
            <w:shd w:val="clear" w:color="auto" w:fill="FFFFFF"/>
          </w:tcPr>
          <w:p w14:paraId="1A643145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Opcional si DUCO usa IA local generativa.</w:t>
            </w:r>
          </w:p>
        </w:tc>
      </w:tr>
      <w:tr w:rsidR="00510C7F" w14:paraId="131E013F" w14:textId="77777777">
        <w:trPr>
          <w:cantSplit/>
        </w:trPr>
        <w:tc>
          <w:tcPr>
            <w:tcW w:w="2466" w:type="dxa"/>
            <w:shd w:val="clear" w:color="auto" w:fill="FFFFFF"/>
          </w:tcPr>
          <w:p w14:paraId="1F26F1E9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Clave OpenAI</w:t>
            </w:r>
          </w:p>
        </w:tc>
        <w:tc>
          <w:tcPr>
            <w:tcW w:w="6038" w:type="dxa"/>
            <w:shd w:val="clear" w:color="auto" w:fill="FFFFFF"/>
          </w:tcPr>
          <w:p w14:paraId="341B371C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Opcional; solo servidor, con créditos y modelo habilitado.</w:t>
            </w:r>
          </w:p>
        </w:tc>
      </w:tr>
    </w:tbl>
    <w:p w14:paraId="012279B9" w14:textId="77777777" w:rsidR="00510C7F" w:rsidRDefault="00510C7F">
      <w:pPr>
        <w:pStyle w:val="APTTexto"/>
        <w:spacing w:after="60" w:line="20" w:lineRule="exact"/>
      </w:pPr>
    </w:p>
    <w:p w14:paraId="22A46BA6" w14:textId="77777777" w:rsidR="00510C7F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Secretos y repositorio público</w:t>
      </w:r>
    </w:p>
    <w:p w14:paraId="18C2970D" w14:textId="77777777" w:rsidR="00510C7F" w:rsidRDefault="00000000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Nunca subir .env, OPENAI_API_KEY, contraseñas, cookies, URL ICS privada, dumps con datos personales ni .local/uploads. El repositorio público debe conservar únicamente .env.example con valores ficticios.</w:t>
      </w:r>
    </w:p>
    <w:p w14:paraId="7C29813C" w14:textId="77777777" w:rsidR="00510C7F" w:rsidRDefault="00510C7F">
      <w:pPr>
        <w:pStyle w:val="APTTexto"/>
        <w:spacing w:after="60" w:line="20" w:lineRule="exact"/>
      </w:pPr>
    </w:p>
    <w:p w14:paraId="5F4FC322" w14:textId="77777777" w:rsidR="00510C7F" w:rsidRDefault="00000000">
      <w:pPr>
        <w:pStyle w:val="Ttulo1"/>
      </w:pPr>
      <w:bookmarkStart w:id="1" w:name="_Toc242230324"/>
      <w:r>
        <w:rPr>
          <w:rFonts w:ascii="Calibri" w:eastAsia="Calibri" w:hAnsi="Calibri" w:cs="Calibri"/>
          <w:lang w:val="es-CL"/>
        </w:rPr>
        <w:t>2. Inicio recomendado con iniciar.bat</w:t>
      </w:r>
      <w:bookmarkEnd w:id="1"/>
    </w:p>
    <w:p w14:paraId="11FDD9FA" w14:textId="77777777" w:rsidR="00510C7F" w:rsidRDefault="00000000">
      <w:pPr>
        <w:pStyle w:val="APTTexto"/>
      </w:pPr>
      <w:r>
        <w:rPr>
          <w:rFonts w:eastAsia="Calibri" w:cs="Calibri"/>
          <w:lang w:val="es-CL"/>
        </w:rPr>
        <w:t>Desde la raíz D:\konea-rebirth\Konea-Rebirth, hacer doble clic en iniciar.bat o ejecutarlo desde PowerShell. El BAT delega en scripts/start-dev.ps1 y mantiene una sola consola supervisora.</w:t>
      </w:r>
    </w:p>
    <w:p w14:paraId="52A01181" w14:textId="77777777" w:rsidR="00510C7F" w:rsidRDefault="00000000">
      <w:pPr>
        <w:pStyle w:val="APTCdigo"/>
        <w:keepLines/>
        <w:shd w:val="clear" w:color="auto" w:fill="F2F2F2"/>
        <w:ind w:left="102" w:right="102"/>
      </w:pPr>
      <w:r>
        <w:rPr>
          <w:rFonts w:eastAsia="Consolas" w:cs="Consolas"/>
          <w:lang w:val="es-CL"/>
        </w:rPr>
        <w:t>.\iniciar.bat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361"/>
        <w:gridCol w:w="7143"/>
      </w:tblGrid>
      <w:tr w:rsidR="00510C7F" w14:paraId="0FD4B95C" w14:textId="77777777">
        <w:trPr>
          <w:cantSplit/>
          <w:tblHeader/>
        </w:trPr>
        <w:tc>
          <w:tcPr>
            <w:tcW w:w="1361" w:type="dxa"/>
            <w:shd w:val="clear" w:color="auto" w:fill="D9E2F3"/>
          </w:tcPr>
          <w:p w14:paraId="61CC58DA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Paso</w:t>
            </w:r>
          </w:p>
        </w:tc>
        <w:tc>
          <w:tcPr>
            <w:tcW w:w="7143" w:type="dxa"/>
            <w:shd w:val="clear" w:color="auto" w:fill="D9E2F3"/>
          </w:tcPr>
          <w:p w14:paraId="77799EF9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Acción automática</w:t>
            </w:r>
          </w:p>
        </w:tc>
      </w:tr>
      <w:tr w:rsidR="00510C7F" w14:paraId="3255863E" w14:textId="77777777">
        <w:trPr>
          <w:cantSplit/>
        </w:trPr>
        <w:tc>
          <w:tcPr>
            <w:tcW w:w="1361" w:type="dxa"/>
            <w:shd w:val="clear" w:color="auto" w:fill="FFFFFF"/>
          </w:tcPr>
          <w:p w14:paraId="6ED7BE7C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1</w:t>
            </w:r>
          </w:p>
        </w:tc>
        <w:tc>
          <w:tcPr>
            <w:tcW w:w="7143" w:type="dxa"/>
            <w:shd w:val="clear" w:color="auto" w:fill="FFFFFF"/>
          </w:tcPr>
          <w:p w14:paraId="65B3807F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Valida .env, Node/npm y dependencias; instala paquetes solo si faltan.</w:t>
            </w:r>
          </w:p>
        </w:tc>
      </w:tr>
      <w:tr w:rsidR="00510C7F" w14:paraId="3BB9179F" w14:textId="77777777">
        <w:trPr>
          <w:cantSplit/>
        </w:trPr>
        <w:tc>
          <w:tcPr>
            <w:tcW w:w="1361" w:type="dxa"/>
            <w:shd w:val="clear" w:color="auto" w:fill="FFFFFF"/>
          </w:tcPr>
          <w:p w14:paraId="160BC6E7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2</w:t>
            </w:r>
          </w:p>
        </w:tc>
        <w:tc>
          <w:tcPr>
            <w:tcW w:w="7143" w:type="dxa"/>
            <w:shd w:val="clear" w:color="auto" w:fill="FFFFFF"/>
          </w:tcPr>
          <w:p w14:paraId="5CDA3F3E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Comprueba Docker Desktop y lo inicia oculto si es necesario.</w:t>
            </w:r>
          </w:p>
        </w:tc>
      </w:tr>
      <w:tr w:rsidR="00510C7F" w14:paraId="47E2046B" w14:textId="77777777">
        <w:trPr>
          <w:cantSplit/>
        </w:trPr>
        <w:tc>
          <w:tcPr>
            <w:tcW w:w="1361" w:type="dxa"/>
            <w:shd w:val="clear" w:color="auto" w:fill="FFFFFF"/>
          </w:tcPr>
          <w:p w14:paraId="46CC1065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3</w:t>
            </w:r>
          </w:p>
        </w:tc>
        <w:tc>
          <w:tcPr>
            <w:tcW w:w="7143" w:type="dxa"/>
            <w:shd w:val="clear" w:color="auto" w:fill="FFFFFF"/>
          </w:tcPr>
          <w:p w14:paraId="1D9DC02B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Levanta PostgreSQL y espera su healthcheck.</w:t>
            </w:r>
          </w:p>
        </w:tc>
      </w:tr>
      <w:tr w:rsidR="00510C7F" w14:paraId="1AC831D9" w14:textId="77777777">
        <w:trPr>
          <w:cantSplit/>
        </w:trPr>
        <w:tc>
          <w:tcPr>
            <w:tcW w:w="1361" w:type="dxa"/>
            <w:shd w:val="clear" w:color="auto" w:fill="FFFFFF"/>
          </w:tcPr>
          <w:p w14:paraId="44D04BB2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4</w:t>
            </w:r>
          </w:p>
        </w:tc>
        <w:tc>
          <w:tcPr>
            <w:tcW w:w="7143" w:type="dxa"/>
            <w:shd w:val="clear" w:color="auto" w:fill="FFFFFF"/>
          </w:tcPr>
          <w:p w14:paraId="05F4C8CE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Aplica migraciones Drizzle pendientes.</w:t>
            </w:r>
          </w:p>
        </w:tc>
      </w:tr>
      <w:tr w:rsidR="00510C7F" w14:paraId="24E57841" w14:textId="77777777">
        <w:trPr>
          <w:cantSplit/>
        </w:trPr>
        <w:tc>
          <w:tcPr>
            <w:tcW w:w="1361" w:type="dxa"/>
            <w:shd w:val="clear" w:color="auto" w:fill="FFFFFF"/>
          </w:tcPr>
          <w:p w14:paraId="0D2D0F5A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5</w:t>
            </w:r>
          </w:p>
        </w:tc>
        <w:tc>
          <w:tcPr>
            <w:tcW w:w="7143" w:type="dxa"/>
            <w:shd w:val="clear" w:color="auto" w:fill="FFFFFF"/>
          </w:tcPr>
          <w:p w14:paraId="14B2A80B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Prepara la cuenta admin / admin solo en development.</w:t>
            </w:r>
          </w:p>
        </w:tc>
      </w:tr>
      <w:tr w:rsidR="00510C7F" w14:paraId="3028E89B" w14:textId="77777777">
        <w:trPr>
          <w:cantSplit/>
        </w:trPr>
        <w:tc>
          <w:tcPr>
            <w:tcW w:w="1361" w:type="dxa"/>
            <w:shd w:val="clear" w:color="auto" w:fill="FFFFFF"/>
          </w:tcPr>
          <w:p w14:paraId="12430951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6</w:t>
            </w:r>
          </w:p>
        </w:tc>
        <w:tc>
          <w:tcPr>
            <w:tcW w:w="7143" w:type="dxa"/>
            <w:shd w:val="clear" w:color="auto" w:fill="FFFFFF"/>
          </w:tcPr>
          <w:p w14:paraId="30C928A4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Carga contenido social de demostración si SEED_SOCIAL_DEMO=true.</w:t>
            </w:r>
          </w:p>
        </w:tc>
      </w:tr>
      <w:tr w:rsidR="00510C7F" w14:paraId="5DED0C04" w14:textId="77777777">
        <w:trPr>
          <w:cantSplit/>
        </w:trPr>
        <w:tc>
          <w:tcPr>
            <w:tcW w:w="1361" w:type="dxa"/>
            <w:shd w:val="clear" w:color="auto" w:fill="FFFFFF"/>
          </w:tcPr>
          <w:p w14:paraId="2C7051A9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7</w:t>
            </w:r>
          </w:p>
        </w:tc>
        <w:tc>
          <w:tcPr>
            <w:tcW w:w="7143" w:type="dxa"/>
            <w:shd w:val="clear" w:color="auto" w:fill="FFFFFF"/>
          </w:tcPr>
          <w:p w14:paraId="6BF98194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Valida proveedor DUCO y cae a reglas locales si Ollama/OpenAI falla.</w:t>
            </w:r>
          </w:p>
        </w:tc>
      </w:tr>
      <w:tr w:rsidR="00510C7F" w14:paraId="233AFF2D" w14:textId="77777777">
        <w:trPr>
          <w:cantSplit/>
        </w:trPr>
        <w:tc>
          <w:tcPr>
            <w:tcW w:w="1361" w:type="dxa"/>
            <w:shd w:val="clear" w:color="auto" w:fill="FFFFFF"/>
          </w:tcPr>
          <w:p w14:paraId="69F2DC07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8</w:t>
            </w:r>
          </w:p>
        </w:tc>
        <w:tc>
          <w:tcPr>
            <w:tcW w:w="7143" w:type="dxa"/>
            <w:shd w:val="clear" w:color="auto" w:fill="FFFFFF"/>
          </w:tcPr>
          <w:p w14:paraId="24EFEBEF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Inicia API y web, comprueba salud y muestra las URL.</w:t>
            </w:r>
          </w:p>
        </w:tc>
      </w:tr>
    </w:tbl>
    <w:p w14:paraId="295C2289" w14:textId="77777777" w:rsidR="00510C7F" w:rsidRDefault="00510C7F">
      <w:pPr>
        <w:pStyle w:val="APTTexto"/>
        <w:spacing w:after="60" w:line="20" w:lineRule="exact"/>
      </w:pPr>
    </w:p>
    <w:p w14:paraId="4EA5BCA8" w14:textId="77777777" w:rsidR="00510C7F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Resultado esperado</w:t>
      </w:r>
    </w:p>
    <w:p w14:paraId="47435F88" w14:textId="77777777" w:rsidR="00510C7F" w:rsidRDefault="00000000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Web: http://localhost:5173 · API health: http://127.0.0.1:3000/api/v1/health. La consola debe permanecer abierta. Ctrl+C detiene los procesos web/API iniciados por ella; PostgreSQL queda disponible hasta npm run db:down.</w:t>
      </w:r>
    </w:p>
    <w:p w14:paraId="7EB4D0D3" w14:textId="77777777" w:rsidR="00510C7F" w:rsidRDefault="00510C7F">
      <w:pPr>
        <w:pStyle w:val="APTTexto"/>
        <w:spacing w:after="60" w:line="20" w:lineRule="exact"/>
      </w:pPr>
    </w:p>
    <w:p w14:paraId="79BC287C" w14:textId="77777777" w:rsidR="00510C7F" w:rsidRDefault="00000000">
      <w:pPr>
        <w:pStyle w:val="Ttulo2"/>
      </w:pPr>
      <w:bookmarkStart w:id="2" w:name="_Toc242230325"/>
      <w:r>
        <w:rPr>
          <w:rFonts w:ascii="Calibri" w:eastAsia="Calibri" w:hAnsi="Calibri" w:cs="Calibri"/>
          <w:lang w:val="es-CL"/>
        </w:rPr>
        <w:t>2.1 Solo preparar el entorno</w:t>
      </w:r>
      <w:bookmarkEnd w:id="2"/>
    </w:p>
    <w:p w14:paraId="426A0460" w14:textId="77777777" w:rsidR="00510C7F" w:rsidRDefault="00000000">
      <w:pPr>
        <w:pStyle w:val="APTCdigo"/>
        <w:keepLines/>
        <w:shd w:val="clear" w:color="auto" w:fill="F2F2F2"/>
        <w:ind w:left="102" w:right="102"/>
      </w:pPr>
      <w:r>
        <w:rPr>
          <w:rFonts w:eastAsia="Consolas" w:cs="Consolas"/>
          <w:lang w:val="es-CL"/>
        </w:rPr>
        <w:t>.\iniciar.bat -PrepareOnly</w:t>
      </w:r>
    </w:p>
    <w:p w14:paraId="78369CEE" w14:textId="77777777" w:rsidR="00510C7F" w:rsidRDefault="00000000">
      <w:pPr>
        <w:pStyle w:val="APTTexto"/>
      </w:pPr>
      <w:r>
        <w:rPr>
          <w:rFonts w:eastAsia="Calibri" w:cs="Calibri"/>
          <w:lang w:val="es-CL"/>
        </w:rPr>
        <w:lastRenderedPageBreak/>
        <w:t>Use esta variante para validar dependencias, Docker, migraciones, seeds e IA sin iniciar los servidores de desarrollo.</w:t>
      </w:r>
    </w:p>
    <w:p w14:paraId="622F504B" w14:textId="77777777" w:rsidR="00510C7F" w:rsidRDefault="00000000">
      <w:pPr>
        <w:pStyle w:val="Ttulo1"/>
      </w:pPr>
      <w:bookmarkStart w:id="3" w:name="_Toc242230326"/>
      <w:r>
        <w:rPr>
          <w:rFonts w:ascii="Calibri" w:eastAsia="Calibri" w:hAnsi="Calibri" w:cs="Calibri"/>
          <w:lang w:val="es-CL"/>
        </w:rPr>
        <w:t>3. Configuración manual y variables</w:t>
      </w:r>
      <w:bookmarkEnd w:id="3"/>
    </w:p>
    <w:p w14:paraId="4C283492" w14:textId="77777777" w:rsidR="00510C7F" w:rsidRDefault="00000000">
      <w:pPr>
        <w:pStyle w:val="APTCdigo"/>
        <w:keepLines/>
        <w:shd w:val="clear" w:color="auto" w:fill="F2F2F2"/>
        <w:ind w:left="102" w:right="102"/>
      </w:pPr>
      <w:r>
        <w:rPr>
          <w:rFonts w:eastAsia="Consolas" w:cs="Consolas"/>
          <w:lang w:val="es-CL"/>
        </w:rPr>
        <w:t>if (!(Test-Path .env)) { Copy-Item .env.example .env }</w:t>
      </w:r>
      <w:r>
        <w:rPr>
          <w:rFonts w:eastAsia="Consolas" w:cs="Consolas"/>
          <w:lang w:val="es-CL"/>
        </w:rPr>
        <w:br/>
        <w:t>npm install --no-audit --no-fund</w:t>
      </w:r>
      <w:r>
        <w:rPr>
          <w:rFonts w:eastAsia="Consolas" w:cs="Consolas"/>
          <w:lang w:val="es-CL"/>
        </w:rPr>
        <w:br/>
        <w:t>npm run db:up</w:t>
      </w:r>
      <w:r>
        <w:rPr>
          <w:rFonts w:eastAsia="Consolas" w:cs="Consolas"/>
          <w:lang w:val="es-CL"/>
        </w:rPr>
        <w:br/>
        <w:t>npm run db:migrate</w:t>
      </w:r>
      <w:r>
        <w:rPr>
          <w:rFonts w:eastAsia="Consolas" w:cs="Consolas"/>
          <w:lang w:val="es-CL"/>
        </w:rPr>
        <w:br/>
        <w:t>npm run db:seed:dev</w:t>
      </w:r>
      <w:r>
        <w:rPr>
          <w:rFonts w:eastAsia="Consolas" w:cs="Consolas"/>
          <w:lang w:val="es-CL"/>
        </w:rPr>
        <w:br/>
        <w:t>npm run db:seed:social</w:t>
      </w:r>
      <w:r>
        <w:rPr>
          <w:rFonts w:eastAsia="Consolas" w:cs="Consolas"/>
          <w:lang w:val="es-CL"/>
        </w:rPr>
        <w:br/>
        <w:t>npm run dev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3657"/>
        <w:gridCol w:w="4847"/>
      </w:tblGrid>
      <w:tr w:rsidR="00510C7F" w14:paraId="42499387" w14:textId="77777777">
        <w:trPr>
          <w:cantSplit/>
          <w:tblHeader/>
        </w:trPr>
        <w:tc>
          <w:tcPr>
            <w:tcW w:w="3657" w:type="dxa"/>
            <w:shd w:val="clear" w:color="auto" w:fill="D9E2F3"/>
          </w:tcPr>
          <w:p w14:paraId="3D75B163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Variable</w:t>
            </w:r>
          </w:p>
        </w:tc>
        <w:tc>
          <w:tcPr>
            <w:tcW w:w="4847" w:type="dxa"/>
            <w:shd w:val="clear" w:color="auto" w:fill="D9E2F3"/>
          </w:tcPr>
          <w:p w14:paraId="6722EF77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Propósito / regla</w:t>
            </w:r>
          </w:p>
        </w:tc>
      </w:tr>
      <w:tr w:rsidR="00510C7F" w14:paraId="1C85D533" w14:textId="77777777">
        <w:trPr>
          <w:cantSplit/>
        </w:trPr>
        <w:tc>
          <w:tcPr>
            <w:tcW w:w="3657" w:type="dxa"/>
            <w:shd w:val="clear" w:color="auto" w:fill="FFFFFF"/>
          </w:tcPr>
          <w:p w14:paraId="1BAD8015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POSTGRES_DB / USER / PASSWORD / PORT</w:t>
            </w:r>
          </w:p>
        </w:tc>
        <w:tc>
          <w:tcPr>
            <w:tcW w:w="4847" w:type="dxa"/>
            <w:shd w:val="clear" w:color="auto" w:fill="FFFFFF"/>
          </w:tcPr>
          <w:p w14:paraId="6A175787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Contenedor local. Cambiar muestras y mantener DATABASE_URL coherente.</w:t>
            </w:r>
          </w:p>
        </w:tc>
      </w:tr>
      <w:tr w:rsidR="00510C7F" w14:paraId="4FEC3FFE" w14:textId="77777777">
        <w:trPr>
          <w:cantSplit/>
        </w:trPr>
        <w:tc>
          <w:tcPr>
            <w:tcW w:w="3657" w:type="dxa"/>
            <w:shd w:val="clear" w:color="auto" w:fill="FFFFFF"/>
          </w:tcPr>
          <w:p w14:paraId="5550C25E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DATABASE_URL</w:t>
            </w:r>
          </w:p>
        </w:tc>
        <w:tc>
          <w:tcPr>
            <w:tcW w:w="4847" w:type="dxa"/>
            <w:shd w:val="clear" w:color="auto" w:fill="FFFFFF"/>
          </w:tcPr>
          <w:p w14:paraId="163D7CDF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Solo API. Nunca exponer en Vite ni capturar en evidencia.</w:t>
            </w:r>
          </w:p>
        </w:tc>
      </w:tr>
      <w:tr w:rsidR="00510C7F" w14:paraId="7A90A23B" w14:textId="77777777">
        <w:trPr>
          <w:cantSplit/>
        </w:trPr>
        <w:tc>
          <w:tcPr>
            <w:tcW w:w="3657" w:type="dxa"/>
            <w:shd w:val="clear" w:color="auto" w:fill="FFFFFF"/>
          </w:tcPr>
          <w:p w14:paraId="355FC9F7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NODE_ENV</w:t>
            </w:r>
          </w:p>
        </w:tc>
        <w:tc>
          <w:tcPr>
            <w:tcW w:w="4847" w:type="dxa"/>
            <w:shd w:val="clear" w:color="auto" w:fill="FFFFFF"/>
          </w:tcPr>
          <w:p w14:paraId="36D3E8A4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development local; production cambia cookies y deshabilita seeds demo.</w:t>
            </w:r>
          </w:p>
        </w:tc>
      </w:tr>
      <w:tr w:rsidR="00510C7F" w14:paraId="07A2EA87" w14:textId="77777777">
        <w:trPr>
          <w:cantSplit/>
        </w:trPr>
        <w:tc>
          <w:tcPr>
            <w:tcW w:w="3657" w:type="dxa"/>
            <w:shd w:val="clear" w:color="auto" w:fill="FFFFFF"/>
          </w:tcPr>
          <w:p w14:paraId="19ACBCA7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API_HOST / API_PORT</w:t>
            </w:r>
          </w:p>
        </w:tc>
        <w:tc>
          <w:tcPr>
            <w:tcW w:w="4847" w:type="dxa"/>
            <w:shd w:val="clear" w:color="auto" w:fill="FFFFFF"/>
          </w:tcPr>
          <w:p w14:paraId="12CE1907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127.0.0.1 y 3000 por defecto.</w:t>
            </w:r>
          </w:p>
        </w:tc>
      </w:tr>
      <w:tr w:rsidR="00510C7F" w14:paraId="347436E5" w14:textId="77777777">
        <w:trPr>
          <w:cantSplit/>
        </w:trPr>
        <w:tc>
          <w:tcPr>
            <w:tcW w:w="3657" w:type="dxa"/>
            <w:shd w:val="clear" w:color="auto" w:fill="FFFFFF"/>
          </w:tcPr>
          <w:p w14:paraId="100BED60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CORS_ORIGIN</w:t>
            </w:r>
          </w:p>
        </w:tc>
        <w:tc>
          <w:tcPr>
            <w:tcW w:w="4847" w:type="dxa"/>
            <w:shd w:val="clear" w:color="auto" w:fill="FFFFFF"/>
          </w:tcPr>
          <w:p w14:paraId="349E356C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Origen web exacto permitido, normalmente http://localhost:5173.</w:t>
            </w:r>
          </w:p>
        </w:tc>
      </w:tr>
      <w:tr w:rsidR="00510C7F" w14:paraId="5BAA5210" w14:textId="77777777">
        <w:trPr>
          <w:cantSplit/>
        </w:trPr>
        <w:tc>
          <w:tcPr>
            <w:tcW w:w="3657" w:type="dxa"/>
            <w:shd w:val="clear" w:color="auto" w:fill="FFFFFF"/>
          </w:tcPr>
          <w:p w14:paraId="696AADAE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TRUST_PROXY_HOPS</w:t>
            </w:r>
          </w:p>
        </w:tc>
        <w:tc>
          <w:tcPr>
            <w:tcW w:w="4847" w:type="dxa"/>
            <w:shd w:val="clear" w:color="auto" w:fill="FFFFFF"/>
          </w:tcPr>
          <w:p w14:paraId="3C95D8C8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0 local; 1 únicamente detrás de un proxy confiable.</w:t>
            </w:r>
          </w:p>
        </w:tc>
      </w:tr>
      <w:tr w:rsidR="00510C7F" w14:paraId="527C8C8F" w14:textId="77777777">
        <w:trPr>
          <w:cantSplit/>
        </w:trPr>
        <w:tc>
          <w:tcPr>
            <w:tcW w:w="3657" w:type="dxa"/>
            <w:shd w:val="clear" w:color="auto" w:fill="FFFFFF"/>
          </w:tcPr>
          <w:p w14:paraId="301B0EBF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WRITE_RATE_LIMIT_PER_15_MIN</w:t>
            </w:r>
          </w:p>
        </w:tc>
        <w:tc>
          <w:tcPr>
            <w:tcW w:w="4847" w:type="dxa"/>
            <w:shd w:val="clear" w:color="auto" w:fill="FFFFFF"/>
          </w:tcPr>
          <w:p w14:paraId="1911948C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Límite general de escrituras por IP.</w:t>
            </w:r>
          </w:p>
        </w:tc>
      </w:tr>
      <w:tr w:rsidR="00510C7F" w14:paraId="73264E3F" w14:textId="77777777">
        <w:trPr>
          <w:cantSplit/>
        </w:trPr>
        <w:tc>
          <w:tcPr>
            <w:tcW w:w="3657" w:type="dxa"/>
            <w:shd w:val="clear" w:color="auto" w:fill="FFFFFF"/>
          </w:tcPr>
          <w:p w14:paraId="0F2931A7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SESSION_TTL_DAYS</w:t>
            </w:r>
          </w:p>
        </w:tc>
        <w:tc>
          <w:tcPr>
            <w:tcW w:w="4847" w:type="dxa"/>
            <w:shd w:val="clear" w:color="auto" w:fill="FFFFFF"/>
          </w:tcPr>
          <w:p w14:paraId="3A629621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Vigencia de sesiones entre 1 y 30 días.</w:t>
            </w:r>
          </w:p>
        </w:tc>
      </w:tr>
      <w:tr w:rsidR="00510C7F" w14:paraId="0BEFA894" w14:textId="77777777">
        <w:trPr>
          <w:cantSplit/>
        </w:trPr>
        <w:tc>
          <w:tcPr>
            <w:tcW w:w="3657" w:type="dxa"/>
            <w:shd w:val="clear" w:color="auto" w:fill="FFFFFF"/>
          </w:tcPr>
          <w:p w14:paraId="1F94B40F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POSTS_REQUIRE_APPROVAL</w:t>
            </w:r>
          </w:p>
        </w:tc>
        <w:tc>
          <w:tcPr>
            <w:tcW w:w="4847" w:type="dxa"/>
            <w:shd w:val="clear" w:color="auto" w:fill="FFFFFF"/>
          </w:tcPr>
          <w:p w14:paraId="26CC6FF4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Activa cola de revisión para publicaciones estudiantiles.</w:t>
            </w:r>
          </w:p>
        </w:tc>
      </w:tr>
      <w:tr w:rsidR="00510C7F" w14:paraId="36199E6E" w14:textId="77777777">
        <w:trPr>
          <w:cantSplit/>
        </w:trPr>
        <w:tc>
          <w:tcPr>
            <w:tcW w:w="3657" w:type="dxa"/>
            <w:shd w:val="clear" w:color="auto" w:fill="FFFFFF"/>
          </w:tcPr>
          <w:p w14:paraId="0422ED71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SEED_SOCIAL_DEMO</w:t>
            </w:r>
          </w:p>
        </w:tc>
        <w:tc>
          <w:tcPr>
            <w:tcW w:w="4847" w:type="dxa"/>
            <w:shd w:val="clear" w:color="auto" w:fill="FFFFFF"/>
          </w:tcPr>
          <w:p w14:paraId="4AFBB9F4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Carga contenido de demostración idempotente en development.</w:t>
            </w:r>
          </w:p>
        </w:tc>
      </w:tr>
      <w:tr w:rsidR="00510C7F" w14:paraId="717A0E29" w14:textId="77777777">
        <w:trPr>
          <w:cantSplit/>
        </w:trPr>
        <w:tc>
          <w:tcPr>
            <w:tcW w:w="3657" w:type="dxa"/>
            <w:shd w:val="clear" w:color="auto" w:fill="FFFFFF"/>
          </w:tcPr>
          <w:p w14:paraId="0FDFC52B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DUCO_AI_PROVIDER</w:t>
            </w:r>
          </w:p>
        </w:tc>
        <w:tc>
          <w:tcPr>
            <w:tcW w:w="4847" w:type="dxa"/>
            <w:shd w:val="clear" w:color="auto" w:fill="FFFFFF"/>
          </w:tcPr>
          <w:p w14:paraId="169BC8FB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local, ollama u openai.</w:t>
            </w:r>
          </w:p>
        </w:tc>
      </w:tr>
      <w:tr w:rsidR="00510C7F" w14:paraId="69AEE90A" w14:textId="77777777">
        <w:trPr>
          <w:cantSplit/>
        </w:trPr>
        <w:tc>
          <w:tcPr>
            <w:tcW w:w="3657" w:type="dxa"/>
            <w:shd w:val="clear" w:color="auto" w:fill="FFFFFF"/>
          </w:tcPr>
          <w:p w14:paraId="727E37F2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VITE_API_URL</w:t>
            </w:r>
          </w:p>
        </w:tc>
        <w:tc>
          <w:tcPr>
            <w:tcW w:w="4847" w:type="dxa"/>
            <w:shd w:val="clear" w:color="auto" w:fill="FFFFFF"/>
          </w:tcPr>
          <w:p w14:paraId="6F354542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/api/v1 para proxy de Vite; no incluir secretos.</w:t>
            </w:r>
          </w:p>
        </w:tc>
      </w:tr>
      <w:tr w:rsidR="00510C7F" w14:paraId="2B099E8B" w14:textId="77777777">
        <w:trPr>
          <w:cantSplit/>
        </w:trPr>
        <w:tc>
          <w:tcPr>
            <w:tcW w:w="3657" w:type="dxa"/>
            <w:shd w:val="clear" w:color="auto" w:fill="FFFFFF"/>
          </w:tcPr>
          <w:p w14:paraId="762F0C68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VITE_FOCUSBUDDY_DOWNLOAD_URL</w:t>
            </w:r>
          </w:p>
        </w:tc>
        <w:tc>
          <w:tcPr>
            <w:tcW w:w="4847" w:type="dxa"/>
            <w:shd w:val="clear" w:color="auto" w:fill="FFFFFF"/>
          </w:tcPr>
          <w:p w14:paraId="05FBE194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URL HTTPS pública opcional del instalador.</w:t>
            </w:r>
          </w:p>
        </w:tc>
      </w:tr>
    </w:tbl>
    <w:p w14:paraId="2B1401AE" w14:textId="77777777" w:rsidR="00510C7F" w:rsidRDefault="00510C7F">
      <w:pPr>
        <w:pStyle w:val="APTTexto"/>
        <w:spacing w:after="60" w:line="20" w:lineRule="exact"/>
      </w:pPr>
    </w:p>
    <w:p w14:paraId="3991391E" w14:textId="77777777" w:rsidR="00510C7F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Cuenta administrativa local</w:t>
      </w:r>
    </w:p>
    <w:p w14:paraId="134903A0" w14:textId="77777777" w:rsidR="00510C7F" w:rsidRDefault="00000000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El launcher asegura admin / admin únicamente en NODE_ENV=development. Es una credencial demostrativa conocida: no reutilizarla, no habilitarla en producción y no presentarla como seguridad real.</w:t>
      </w:r>
    </w:p>
    <w:p w14:paraId="731CCECA" w14:textId="77777777" w:rsidR="00510C7F" w:rsidRDefault="00510C7F">
      <w:pPr>
        <w:pStyle w:val="APTTexto"/>
        <w:spacing w:after="60" w:line="20" w:lineRule="exact"/>
      </w:pPr>
    </w:p>
    <w:p w14:paraId="33360808" w14:textId="77777777" w:rsidR="00510C7F" w:rsidRDefault="00000000">
      <w:pPr>
        <w:pStyle w:val="Ttulo1"/>
      </w:pPr>
      <w:bookmarkStart w:id="4" w:name="_Toc242230327"/>
      <w:r>
        <w:rPr>
          <w:rFonts w:ascii="Calibri" w:eastAsia="Calibri" w:hAnsi="Calibri" w:cs="Calibri"/>
          <w:lang w:val="es-CL"/>
        </w:rPr>
        <w:t>4. DUCO: reglas, Ollama y OpenAI</w:t>
      </w:r>
      <w:bookmarkEnd w:id="4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530"/>
        <w:gridCol w:w="3317"/>
        <w:gridCol w:w="3657"/>
      </w:tblGrid>
      <w:tr w:rsidR="00510C7F" w14:paraId="46F73B42" w14:textId="77777777">
        <w:trPr>
          <w:cantSplit/>
          <w:tblHeader/>
        </w:trPr>
        <w:tc>
          <w:tcPr>
            <w:tcW w:w="1531" w:type="dxa"/>
            <w:shd w:val="clear" w:color="auto" w:fill="D9E2F3"/>
          </w:tcPr>
          <w:p w14:paraId="3ADEDD12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Proveedor</w:t>
            </w:r>
          </w:p>
        </w:tc>
        <w:tc>
          <w:tcPr>
            <w:tcW w:w="3317" w:type="dxa"/>
            <w:shd w:val="clear" w:color="auto" w:fill="D9E2F3"/>
          </w:tcPr>
          <w:p w14:paraId="12D3BDEE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Configuración</w:t>
            </w:r>
          </w:p>
        </w:tc>
        <w:tc>
          <w:tcPr>
            <w:tcW w:w="3657" w:type="dxa"/>
            <w:shd w:val="clear" w:color="auto" w:fill="D9E2F3"/>
          </w:tcPr>
          <w:p w14:paraId="602A0463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Comportamiento</w:t>
            </w:r>
          </w:p>
        </w:tc>
      </w:tr>
      <w:tr w:rsidR="00510C7F" w14:paraId="4AE7BE5F" w14:textId="77777777">
        <w:trPr>
          <w:cantSplit/>
        </w:trPr>
        <w:tc>
          <w:tcPr>
            <w:tcW w:w="1531" w:type="dxa"/>
            <w:shd w:val="clear" w:color="auto" w:fill="FFFFFF"/>
          </w:tcPr>
          <w:p w14:paraId="15A91F08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local</w:t>
            </w:r>
          </w:p>
        </w:tc>
        <w:tc>
          <w:tcPr>
            <w:tcW w:w="3317" w:type="dxa"/>
            <w:shd w:val="clear" w:color="auto" w:fill="FFFFFF"/>
          </w:tcPr>
          <w:p w14:paraId="14183766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DUCO_AI_PROVIDER=local</w:t>
            </w:r>
          </w:p>
        </w:tc>
        <w:tc>
          <w:tcPr>
            <w:tcW w:w="3657" w:type="dxa"/>
            <w:shd w:val="clear" w:color="auto" w:fill="FFFFFF"/>
          </w:tcPr>
          <w:p w14:paraId="0011EE18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Reglas determinísticas; no requiere red ni servicio externo.</w:t>
            </w:r>
          </w:p>
        </w:tc>
      </w:tr>
      <w:tr w:rsidR="00510C7F" w14:paraId="29F057CD" w14:textId="77777777">
        <w:trPr>
          <w:cantSplit/>
        </w:trPr>
        <w:tc>
          <w:tcPr>
            <w:tcW w:w="1531" w:type="dxa"/>
            <w:shd w:val="clear" w:color="auto" w:fill="FFFFFF"/>
          </w:tcPr>
          <w:p w14:paraId="377F306F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ollama</w:t>
            </w:r>
          </w:p>
        </w:tc>
        <w:tc>
          <w:tcPr>
            <w:tcW w:w="3317" w:type="dxa"/>
            <w:shd w:val="clear" w:color="auto" w:fill="FFFFFF"/>
          </w:tcPr>
          <w:p w14:paraId="2571E559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OLLAMA_BASE_URL y OLLAMA_MODEL</w:t>
            </w:r>
          </w:p>
        </w:tc>
        <w:tc>
          <w:tcPr>
            <w:tcW w:w="3657" w:type="dxa"/>
            <w:shd w:val="clear" w:color="auto" w:fill="FFFFFF"/>
          </w:tcPr>
          <w:p w14:paraId="1D7844B3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Launcher inicia Ollama si puede y comprueba el modelo; fallback local si falla.</w:t>
            </w:r>
          </w:p>
        </w:tc>
      </w:tr>
      <w:tr w:rsidR="00510C7F" w14:paraId="4D46EA4B" w14:textId="77777777">
        <w:trPr>
          <w:cantSplit/>
        </w:trPr>
        <w:tc>
          <w:tcPr>
            <w:tcW w:w="1531" w:type="dxa"/>
            <w:shd w:val="clear" w:color="auto" w:fill="FFFFFF"/>
          </w:tcPr>
          <w:p w14:paraId="046525F9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openai</w:t>
            </w:r>
          </w:p>
        </w:tc>
        <w:tc>
          <w:tcPr>
            <w:tcW w:w="3317" w:type="dxa"/>
            <w:shd w:val="clear" w:color="auto" w:fill="FFFFFF"/>
          </w:tcPr>
          <w:p w14:paraId="376E7469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OPENAI_API_KEY, OPENAI_MODEL y OPENAI_BASE_URL</w:t>
            </w:r>
          </w:p>
        </w:tc>
        <w:tc>
          <w:tcPr>
            <w:tcW w:w="3657" w:type="dxa"/>
            <w:shd w:val="clear" w:color="auto" w:fill="FFFFFF"/>
          </w:tcPr>
          <w:p w14:paraId="2374A767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Launcher verifica permiso/modelo; fallback local ante error, saldo o red.</w:t>
            </w:r>
          </w:p>
        </w:tc>
      </w:tr>
    </w:tbl>
    <w:p w14:paraId="34970ADA" w14:textId="77777777" w:rsidR="00510C7F" w:rsidRDefault="00510C7F">
      <w:pPr>
        <w:pStyle w:val="APTTexto"/>
        <w:spacing w:after="60" w:line="20" w:lineRule="exact"/>
      </w:pPr>
    </w:p>
    <w:p w14:paraId="21880B3D" w14:textId="77777777" w:rsidR="00510C7F" w:rsidRDefault="00000000">
      <w:pPr>
        <w:pStyle w:val="APTCdigo"/>
        <w:keepLines/>
        <w:shd w:val="clear" w:color="auto" w:fill="F2F2F2"/>
        <w:ind w:left="102" w:right="102"/>
      </w:pPr>
      <w:r>
        <w:rPr>
          <w:rFonts w:eastAsia="Consolas" w:cs="Consolas"/>
          <w:lang w:val="es-CL"/>
        </w:rPr>
        <w:lastRenderedPageBreak/>
        <w:t># Ejemplo local</w:t>
      </w:r>
      <w:r>
        <w:rPr>
          <w:rFonts w:eastAsia="Consolas" w:cs="Consolas"/>
          <w:lang w:val="es-CL"/>
        </w:rPr>
        <w:br/>
        <w:t>DUCO_AI_PROVIDER=ollama</w:t>
      </w:r>
      <w:r>
        <w:rPr>
          <w:rFonts w:eastAsia="Consolas" w:cs="Consolas"/>
          <w:lang w:val="es-CL"/>
        </w:rPr>
        <w:br/>
        <w:t>OLLAMA_BASE_URL=http://127.0.0.1:11434</w:t>
      </w:r>
      <w:r>
        <w:rPr>
          <w:rFonts w:eastAsia="Consolas" w:cs="Consolas"/>
          <w:lang w:val="es-CL"/>
        </w:rPr>
        <w:br/>
        <w:t>OLLAMA_MODEL=qwen3.5:4b</w:t>
      </w:r>
      <w:r>
        <w:rPr>
          <w:rFonts w:eastAsia="Consolas" w:cs="Consolas"/>
          <w:lang w:val="es-CL"/>
        </w:rPr>
        <w:br/>
      </w:r>
      <w:r>
        <w:rPr>
          <w:rFonts w:eastAsia="Consolas" w:cs="Consolas"/>
          <w:lang w:val="es-CL"/>
        </w:rPr>
        <w:br/>
        <w:t># Ejemplo remoto (la clave se agrega solo en .env local)</w:t>
      </w:r>
      <w:r>
        <w:rPr>
          <w:rFonts w:eastAsia="Consolas" w:cs="Consolas"/>
          <w:lang w:val="es-CL"/>
        </w:rPr>
        <w:br/>
        <w:t>DUCO_AI_PROVIDER=openai</w:t>
      </w:r>
      <w:r>
        <w:rPr>
          <w:rFonts w:eastAsia="Consolas" w:cs="Consolas"/>
          <w:lang w:val="es-CL"/>
        </w:rPr>
        <w:br/>
        <w:t>OPENAI_MODEL=gpt-5.6-luna</w:t>
      </w:r>
      <w:r>
        <w:rPr>
          <w:rFonts w:eastAsia="Consolas" w:cs="Consolas"/>
          <w:lang w:val="es-CL"/>
        </w:rPr>
        <w:br/>
        <w:t>OPENAI_BASE_URL=https://api.openai.com/v1</w:t>
      </w:r>
    </w:p>
    <w:p w14:paraId="7B23E5EB" w14:textId="77777777" w:rsidR="00510C7F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DUCO no actúa de forma autónoma</w:t>
      </w:r>
    </w:p>
    <w:p w14:paraId="2B386281" w14:textId="77777777" w:rsidR="00510C7F" w:rsidRDefault="00000000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La IA propone una salida estructurada. La API valida y la interfaz exige revisión. Ningún proveedor crea pendientes, envía solicitudes ni contacta emergencias sin confirmación del estudiante.</w:t>
      </w:r>
    </w:p>
    <w:p w14:paraId="2D27CBB3" w14:textId="77777777" w:rsidR="00510C7F" w:rsidRDefault="00510C7F">
      <w:pPr>
        <w:pStyle w:val="APTTexto"/>
        <w:spacing w:after="60" w:line="20" w:lineRule="exact"/>
      </w:pPr>
    </w:p>
    <w:p w14:paraId="6ABE6DE3" w14:textId="77777777" w:rsidR="00510C7F" w:rsidRDefault="00000000">
      <w:pPr>
        <w:pStyle w:val="Ttulo1"/>
      </w:pPr>
      <w:bookmarkStart w:id="5" w:name="_Toc242230328"/>
      <w:r>
        <w:rPr>
          <w:rFonts w:ascii="Calibri" w:eastAsia="Calibri" w:hAnsi="Calibri" w:cs="Calibri"/>
          <w:lang w:val="es-CL"/>
        </w:rPr>
        <w:t>5. FocusBuddy web y escritorio</w:t>
      </w:r>
      <w:bookmarkEnd w:id="5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785"/>
        <w:gridCol w:w="3232"/>
        <w:gridCol w:w="3487"/>
      </w:tblGrid>
      <w:tr w:rsidR="00510C7F" w14:paraId="50E767E7" w14:textId="77777777">
        <w:trPr>
          <w:cantSplit/>
          <w:tblHeader/>
        </w:trPr>
        <w:tc>
          <w:tcPr>
            <w:tcW w:w="1786" w:type="dxa"/>
            <w:shd w:val="clear" w:color="auto" w:fill="D9E2F3"/>
          </w:tcPr>
          <w:p w14:paraId="268A91D5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Modo</w:t>
            </w:r>
          </w:p>
        </w:tc>
        <w:tc>
          <w:tcPr>
            <w:tcW w:w="3232" w:type="dxa"/>
            <w:shd w:val="clear" w:color="auto" w:fill="D9E2F3"/>
          </w:tcPr>
          <w:p w14:paraId="2D094F3A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Comando / acceso</w:t>
            </w:r>
          </w:p>
        </w:tc>
        <w:tc>
          <w:tcPr>
            <w:tcW w:w="3487" w:type="dxa"/>
            <w:shd w:val="clear" w:color="auto" w:fill="D9E2F3"/>
          </w:tcPr>
          <w:p w14:paraId="59313C69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Notas</w:t>
            </w:r>
          </w:p>
        </w:tc>
      </w:tr>
      <w:tr w:rsidR="00510C7F" w14:paraId="2ECA2796" w14:textId="77777777">
        <w:trPr>
          <w:cantSplit/>
        </w:trPr>
        <w:tc>
          <w:tcPr>
            <w:tcW w:w="1786" w:type="dxa"/>
            <w:shd w:val="clear" w:color="auto" w:fill="FFFFFF"/>
          </w:tcPr>
          <w:p w14:paraId="5889E800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Web</w:t>
            </w:r>
          </w:p>
        </w:tc>
        <w:tc>
          <w:tcPr>
            <w:tcW w:w="3232" w:type="dxa"/>
            <w:shd w:val="clear" w:color="auto" w:fill="FFFFFF"/>
          </w:tcPr>
          <w:p w14:paraId="3D963519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http://localhost:5173/#focusbuddy</w:t>
            </w:r>
          </w:p>
        </w:tc>
        <w:tc>
          <w:tcPr>
            <w:tcW w:w="3487" w:type="dxa"/>
            <w:shd w:val="clear" w:color="auto" w:fill="FFFFFF"/>
          </w:tcPr>
          <w:p w14:paraId="467FC58A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Usa la misma sesión, API y base que Konea.</w:t>
            </w:r>
          </w:p>
        </w:tc>
      </w:tr>
      <w:tr w:rsidR="00510C7F" w14:paraId="2382EDF0" w14:textId="77777777">
        <w:trPr>
          <w:cantSplit/>
        </w:trPr>
        <w:tc>
          <w:tcPr>
            <w:tcW w:w="1786" w:type="dxa"/>
            <w:shd w:val="clear" w:color="auto" w:fill="FFFFFF"/>
          </w:tcPr>
          <w:p w14:paraId="1C5D60EA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Electron desarrollo</w:t>
            </w:r>
          </w:p>
        </w:tc>
        <w:tc>
          <w:tcPr>
            <w:tcW w:w="3232" w:type="dxa"/>
            <w:shd w:val="clear" w:color="auto" w:fill="FFFFFF"/>
          </w:tcPr>
          <w:p w14:paraId="455BA60F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.\iniciar-focusbuddy.bat</w:t>
            </w:r>
          </w:p>
        </w:tc>
        <w:tc>
          <w:tcPr>
            <w:tcW w:w="3487" w:type="dxa"/>
            <w:shd w:val="clear" w:color="auto" w:fill="FFFFFF"/>
          </w:tcPr>
          <w:p w14:paraId="67FE5800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Levanta servicios y abre el shell contra localhost.</w:t>
            </w:r>
          </w:p>
        </w:tc>
      </w:tr>
      <w:tr w:rsidR="00510C7F" w14:paraId="448A9B99" w14:textId="77777777">
        <w:trPr>
          <w:cantSplit/>
        </w:trPr>
        <w:tc>
          <w:tcPr>
            <w:tcW w:w="1786" w:type="dxa"/>
            <w:shd w:val="clear" w:color="auto" w:fill="FFFFFF"/>
          </w:tcPr>
          <w:p w14:paraId="70EEE647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Electron desde launcher</w:t>
            </w:r>
          </w:p>
        </w:tc>
        <w:tc>
          <w:tcPr>
            <w:tcW w:w="3232" w:type="dxa"/>
            <w:shd w:val="clear" w:color="auto" w:fill="FFFFFF"/>
          </w:tcPr>
          <w:p w14:paraId="180526AF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.\iniciar.bat -FocusBuddy</w:t>
            </w:r>
          </w:p>
        </w:tc>
        <w:tc>
          <w:tcPr>
            <w:tcW w:w="3487" w:type="dxa"/>
            <w:shd w:val="clear" w:color="auto" w:fill="FFFFFF"/>
          </w:tcPr>
          <w:p w14:paraId="18A9C8D7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Equivalente técnico para preparar Konea y abrir el cliente en la misma ejecución.</w:t>
            </w:r>
          </w:p>
        </w:tc>
      </w:tr>
      <w:tr w:rsidR="00510C7F" w14:paraId="5131C2D3" w14:textId="77777777">
        <w:trPr>
          <w:cantSplit/>
        </w:trPr>
        <w:tc>
          <w:tcPr>
            <w:tcW w:w="1786" w:type="dxa"/>
            <w:shd w:val="clear" w:color="auto" w:fill="FFFFFF"/>
          </w:tcPr>
          <w:p w14:paraId="14801EF7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Electron separado</w:t>
            </w:r>
          </w:p>
        </w:tc>
        <w:tc>
          <w:tcPr>
            <w:tcW w:w="3232" w:type="dxa"/>
            <w:shd w:val="clear" w:color="auto" w:fill="FFFFFF"/>
          </w:tcPr>
          <w:p w14:paraId="1230B02B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npm run focusbuddy</w:t>
            </w:r>
          </w:p>
        </w:tc>
        <w:tc>
          <w:tcPr>
            <w:tcW w:w="3487" w:type="dxa"/>
            <w:shd w:val="clear" w:color="auto" w:fill="FFFFFF"/>
          </w:tcPr>
          <w:p w14:paraId="70E30B34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Requiere que Konea ya esté activa.</w:t>
            </w:r>
          </w:p>
        </w:tc>
      </w:tr>
      <w:tr w:rsidR="00510C7F" w14:paraId="04F6B9A6" w14:textId="77777777">
        <w:trPr>
          <w:cantSplit/>
        </w:trPr>
        <w:tc>
          <w:tcPr>
            <w:tcW w:w="1786" w:type="dxa"/>
            <w:shd w:val="clear" w:color="auto" w:fill="FFFFFF"/>
          </w:tcPr>
          <w:p w14:paraId="7D0BF915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Instalador local</w:t>
            </w:r>
          </w:p>
        </w:tc>
        <w:tc>
          <w:tcPr>
            <w:tcW w:w="3232" w:type="dxa"/>
            <w:shd w:val="clear" w:color="auto" w:fill="FFFFFF"/>
          </w:tcPr>
          <w:p w14:paraId="4F5F9210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npm run dist:focusbuddy</w:t>
            </w:r>
          </w:p>
        </w:tc>
        <w:tc>
          <w:tcPr>
            <w:tcW w:w="3487" w:type="dxa"/>
            <w:shd w:val="clear" w:color="auto" w:fill="FFFFFF"/>
          </w:tcPr>
          <w:p w14:paraId="20735E55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Genera NSIS x64 en apps/focusbuddy/release; sin URL remota usa localhost.</w:t>
            </w:r>
          </w:p>
        </w:tc>
      </w:tr>
    </w:tbl>
    <w:p w14:paraId="083CD5D2" w14:textId="77777777" w:rsidR="00510C7F" w:rsidRDefault="00510C7F">
      <w:pPr>
        <w:pStyle w:val="APTTexto"/>
        <w:spacing w:after="60" w:line="20" w:lineRule="exact"/>
      </w:pPr>
    </w:p>
    <w:p w14:paraId="20E39BD4" w14:textId="77777777" w:rsidR="00510C7F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Arquitectura del escritorio</w:t>
      </w:r>
    </w:p>
    <w:p w14:paraId="56DDD2E1" w14:textId="77777777" w:rsidR="00510C7F" w:rsidRDefault="00000000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Electron no contiene otra base ni un temporizador independiente. Carga la SPA, usa la API central y mantiene preferencias/ventana en su perfil. El modo sin conexión solo muestra una pantalla de error; no hay cola offline de sesiones.</w:t>
      </w:r>
    </w:p>
    <w:p w14:paraId="16EFEACA" w14:textId="77777777" w:rsidR="00510C7F" w:rsidRDefault="00510C7F">
      <w:pPr>
        <w:pStyle w:val="APTTexto"/>
        <w:spacing w:after="60" w:line="20" w:lineRule="exact"/>
      </w:pPr>
    </w:p>
    <w:p w14:paraId="0D0F1430" w14:textId="77777777" w:rsidR="00510C7F" w:rsidRDefault="00000000">
      <w:pPr>
        <w:pStyle w:val="Ttulo1"/>
      </w:pPr>
      <w:bookmarkStart w:id="6" w:name="_Toc242230329"/>
      <w:r>
        <w:rPr>
          <w:rFonts w:ascii="Calibri" w:eastAsia="Calibri" w:hAnsi="Calibri" w:cs="Calibri"/>
          <w:lang w:val="es-CL"/>
        </w:rPr>
        <w:t>6. Calidad y pruebas aisladas</w:t>
      </w:r>
      <w:bookmarkEnd w:id="6"/>
    </w:p>
    <w:p w14:paraId="16862FE2" w14:textId="77777777" w:rsidR="00510C7F" w:rsidRDefault="00000000">
      <w:pPr>
        <w:pStyle w:val="APTCdigo"/>
        <w:keepLines/>
        <w:shd w:val="clear" w:color="auto" w:fill="F2F2F2"/>
        <w:ind w:left="102" w:right="102"/>
      </w:pPr>
      <w:r>
        <w:rPr>
          <w:rFonts w:eastAsia="Consolas" w:cs="Consolas"/>
          <w:lang w:val="es-CL"/>
        </w:rPr>
        <w:t>npm run check</w:t>
      </w:r>
    </w:p>
    <w:p w14:paraId="34E7BEA7" w14:textId="77777777" w:rsidR="00510C7F" w:rsidRDefault="00000000">
      <w:pPr>
        <w:pStyle w:val="APTTexto"/>
      </w:pPr>
      <w:r>
        <w:rPr>
          <w:rFonts w:eastAsia="Calibri" w:cs="Calibri"/>
          <w:lang w:val="es-CL"/>
        </w:rPr>
        <w:t>El comando ejecuta lint, typecheck, db:check, test, build y format:check. Para una corrida que escriba datos, exportar antes una DATABASE_URL de pruebas. NODE_ENV=test por sí solo no cambia la URL.</w:t>
      </w:r>
    </w:p>
    <w:p w14:paraId="3989E66F" w14:textId="77777777" w:rsidR="00510C7F" w:rsidRDefault="00000000">
      <w:pPr>
        <w:pStyle w:val="APTCdigo"/>
        <w:keepLines/>
        <w:shd w:val="clear" w:color="auto" w:fill="F2F2F2"/>
        <w:ind w:left="102" w:right="102"/>
      </w:pPr>
      <w:r>
        <w:rPr>
          <w:rFonts w:eastAsia="Consolas" w:cs="Consolas"/>
          <w:lang w:val="es-CL"/>
        </w:rPr>
        <w:t>$env:DATABASE_URL = 'postgresql://&lt;usuario&gt;:&lt;clave&gt;@127.0.0.1:5432/konea_test'</w:t>
      </w:r>
      <w:r>
        <w:rPr>
          <w:rFonts w:eastAsia="Consolas" w:cs="Consolas"/>
          <w:lang w:val="es-CL"/>
        </w:rPr>
        <w:br/>
        <w:t>npm run db:migrate</w:t>
      </w:r>
      <w:r>
        <w:rPr>
          <w:rFonts w:eastAsia="Consolas" w:cs="Consolas"/>
          <w:lang w:val="es-CL"/>
        </w:rPr>
        <w:br/>
        <w:t>npm test</w:t>
      </w:r>
    </w:p>
    <w:p w14:paraId="7A59FB06" w14:textId="77777777" w:rsidR="00510C7F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Corte verificado</w:t>
      </w:r>
    </w:p>
    <w:p w14:paraId="6900190D" w14:textId="77777777" w:rsidR="00510C7F" w:rsidRDefault="00000000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npm run check aprobó. Una segunda ejecución sobre konea_test obtuvo 148/148: API 99, web 21, FocusBuddy 21 y AVA 7. No copiar la URL con contraseña al expediente.</w:t>
      </w:r>
    </w:p>
    <w:p w14:paraId="43CDFBF0" w14:textId="77777777" w:rsidR="00510C7F" w:rsidRDefault="00510C7F">
      <w:pPr>
        <w:pStyle w:val="APTTexto"/>
        <w:spacing w:after="60" w:line="20" w:lineRule="exact"/>
      </w:pPr>
    </w:p>
    <w:p w14:paraId="5046F576" w14:textId="77777777" w:rsidR="00510C7F" w:rsidRDefault="00000000">
      <w:pPr>
        <w:pStyle w:val="Ttulo1"/>
      </w:pPr>
      <w:bookmarkStart w:id="7" w:name="_Toc242230330"/>
      <w:r>
        <w:rPr>
          <w:rFonts w:ascii="Calibri" w:eastAsia="Calibri" w:hAnsi="Calibri" w:cs="Calibri"/>
          <w:lang w:val="es-CL"/>
        </w:rPr>
        <w:lastRenderedPageBreak/>
        <w:t>7. Base de datos, respaldo y restauración</w:t>
      </w:r>
      <w:bookmarkEnd w:id="7"/>
    </w:p>
    <w:p w14:paraId="4D439073" w14:textId="77777777" w:rsidR="00510C7F" w:rsidRDefault="00000000">
      <w:pPr>
        <w:pStyle w:val="Ttulo2"/>
      </w:pPr>
      <w:bookmarkStart w:id="8" w:name="_Toc242230331"/>
      <w:r>
        <w:rPr>
          <w:rFonts w:ascii="Calibri" w:eastAsia="Calibri" w:hAnsi="Calibri" w:cs="Calibri"/>
          <w:lang w:val="es-CL"/>
        </w:rPr>
        <w:t>7.1 Operación</w:t>
      </w:r>
      <w:bookmarkEnd w:id="8"/>
    </w:p>
    <w:p w14:paraId="34096ACA" w14:textId="77777777" w:rsidR="00510C7F" w:rsidRDefault="00000000">
      <w:pPr>
        <w:pStyle w:val="APTCdigo"/>
        <w:keepLines/>
        <w:shd w:val="clear" w:color="auto" w:fill="F2F2F2"/>
        <w:ind w:left="102" w:right="102"/>
      </w:pPr>
      <w:r>
        <w:rPr>
          <w:rFonts w:eastAsia="Consolas" w:cs="Consolas"/>
          <w:lang w:val="es-CL"/>
        </w:rPr>
        <w:t>npm run db:up</w:t>
      </w:r>
      <w:r>
        <w:rPr>
          <w:rFonts w:eastAsia="Consolas" w:cs="Consolas"/>
          <w:lang w:val="es-CL"/>
        </w:rPr>
        <w:br/>
        <w:t>npm run db:migrate</w:t>
      </w:r>
      <w:r>
        <w:rPr>
          <w:rFonts w:eastAsia="Consolas" w:cs="Consolas"/>
          <w:lang w:val="es-CL"/>
        </w:rPr>
        <w:br/>
        <w:t>npm run db:check</w:t>
      </w:r>
      <w:r>
        <w:rPr>
          <w:rFonts w:eastAsia="Consolas" w:cs="Consolas"/>
          <w:lang w:val="es-CL"/>
        </w:rPr>
        <w:br/>
        <w:t>npm run db:studio</w:t>
      </w:r>
      <w:r>
        <w:rPr>
          <w:rFonts w:eastAsia="Consolas" w:cs="Consolas"/>
          <w:lang w:val="es-CL"/>
        </w:rPr>
        <w:br/>
        <w:t>npm run db:logs</w:t>
      </w:r>
      <w:r>
        <w:rPr>
          <w:rFonts w:eastAsia="Consolas" w:cs="Consolas"/>
          <w:lang w:val="es-CL"/>
        </w:rPr>
        <w:br/>
        <w:t>npm run db:down</w:t>
      </w:r>
    </w:p>
    <w:p w14:paraId="68528725" w14:textId="77777777" w:rsidR="00510C7F" w:rsidRDefault="00000000">
      <w:pPr>
        <w:pStyle w:val="APTTexto"/>
      </w:pPr>
      <w:r>
        <w:rPr>
          <w:rFonts w:eastAsia="Calibri" w:cs="Calibri"/>
          <w:lang w:val="es-CL"/>
        </w:rPr>
        <w:t>db:down conserva el volumen postgres_data. No usar docker compose down --volumes para un apagado normal: elimina la persistencia local.</w:t>
      </w:r>
    </w:p>
    <w:p w14:paraId="41178662" w14:textId="77777777" w:rsidR="00510C7F" w:rsidRDefault="00000000">
      <w:pPr>
        <w:pStyle w:val="Ttulo2"/>
      </w:pPr>
      <w:bookmarkStart w:id="9" w:name="_Toc242230332"/>
      <w:r>
        <w:rPr>
          <w:rFonts w:ascii="Calibri" w:eastAsia="Calibri" w:hAnsi="Calibri" w:cs="Calibri"/>
          <w:lang w:val="es-CL"/>
        </w:rPr>
        <w:t>7.2 Respaldo binario</w:t>
      </w:r>
      <w:bookmarkEnd w:id="9"/>
    </w:p>
    <w:p w14:paraId="3E8B45AD" w14:textId="77777777" w:rsidR="00510C7F" w:rsidRDefault="00000000">
      <w:pPr>
        <w:pStyle w:val="APTCdigo"/>
        <w:keepLines/>
        <w:shd w:val="clear" w:color="auto" w:fill="F2F2F2"/>
        <w:ind w:left="102" w:right="102"/>
      </w:pPr>
      <w:r>
        <w:rPr>
          <w:rFonts w:eastAsia="Consolas" w:cs="Consolas"/>
          <w:lang w:val="es-CL"/>
        </w:rPr>
        <w:t>$cid = docker compose ps -q postgres</w:t>
      </w:r>
      <w:r>
        <w:rPr>
          <w:rFonts w:eastAsia="Consolas" w:cs="Consolas"/>
          <w:lang w:val="es-CL"/>
        </w:rPr>
        <w:br/>
        <w:t>New-Item -ItemType Directory -Force .\respaldos | Out-Null</w:t>
      </w:r>
      <w:r>
        <w:rPr>
          <w:rFonts w:eastAsia="Consolas" w:cs="Consolas"/>
          <w:lang w:val="es-CL"/>
        </w:rPr>
        <w:br/>
        <w:t>$backup = '.\respaldos\konea-' + (Get-Date -Format yyyyMMdd-HHmmss) + '.dump'</w:t>
      </w:r>
      <w:r>
        <w:rPr>
          <w:rFonts w:eastAsia="Consolas" w:cs="Consolas"/>
          <w:lang w:val="es-CL"/>
        </w:rPr>
        <w:br/>
        <w:t>docker compose exec -T postgres sh -c 'pg_dump -U "$POSTGRES_USER" -d "$POSTGRES_DB" -Fc -f /tmp/konea.dump'</w:t>
      </w:r>
      <w:r>
        <w:rPr>
          <w:rFonts w:eastAsia="Consolas" w:cs="Consolas"/>
          <w:lang w:val="es-CL"/>
        </w:rPr>
        <w:br/>
        <w:t>docker cp "${cid}:/tmp/konea.dump" $backup</w:t>
      </w:r>
    </w:p>
    <w:p w14:paraId="7FFCE326" w14:textId="77777777" w:rsidR="00510C7F" w:rsidRDefault="00000000">
      <w:pPr>
        <w:pStyle w:val="Ttulo2"/>
      </w:pPr>
      <w:bookmarkStart w:id="10" w:name="_Toc242230333"/>
      <w:r>
        <w:rPr>
          <w:rFonts w:ascii="Calibri" w:eastAsia="Calibri" w:hAnsi="Calibri" w:cs="Calibri"/>
          <w:lang w:val="es-CL"/>
        </w:rPr>
        <w:t>7.3 Restaurar sin sobrescribir</w:t>
      </w:r>
      <w:bookmarkEnd w:id="10"/>
    </w:p>
    <w:p w14:paraId="23A318D3" w14:textId="77777777" w:rsidR="00510C7F" w:rsidRDefault="00000000">
      <w:pPr>
        <w:pStyle w:val="APTCdigo"/>
        <w:keepLines/>
        <w:shd w:val="clear" w:color="auto" w:fill="F2F2F2"/>
        <w:ind w:left="102" w:right="102"/>
      </w:pPr>
      <w:r>
        <w:rPr>
          <w:rFonts w:eastAsia="Consolas" w:cs="Consolas"/>
          <w:lang w:val="es-CL"/>
        </w:rPr>
        <w:t>$cid = docker compose ps -q postgres</w:t>
      </w:r>
      <w:r>
        <w:rPr>
          <w:rFonts w:eastAsia="Consolas" w:cs="Consolas"/>
          <w:lang w:val="es-CL"/>
        </w:rPr>
        <w:br/>
        <w:t>docker cp $backup "${cid}:/tmp/konea_restore.dump"</w:t>
      </w:r>
      <w:r>
        <w:rPr>
          <w:rFonts w:eastAsia="Consolas" w:cs="Consolas"/>
          <w:lang w:val="es-CL"/>
        </w:rPr>
        <w:br/>
        <w:t>docker compose exec -T postgres createdb -U &lt;usuario&gt; konea_restore_20261006</w:t>
      </w:r>
      <w:r>
        <w:rPr>
          <w:rFonts w:eastAsia="Consolas" w:cs="Consolas"/>
          <w:lang w:val="es-CL"/>
        </w:rPr>
        <w:br/>
        <w:t>docker compose exec -T postgres pg_restore -U &lt;usuario&gt; -d konea_restore_20261006 --exit-on-error /tmp/konea_restore.dump</w:t>
      </w:r>
    </w:p>
    <w:p w14:paraId="42FC1F68" w14:textId="77777777" w:rsidR="00510C7F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Regla de recuperación</w:t>
      </w:r>
    </w:p>
    <w:p w14:paraId="5D4DC0EE" w14:textId="77777777" w:rsidR="00510C7F" w:rsidRDefault="00000000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Comprobar primero que el nombre de destino no exista. Restaurar siempre en una base nueva y validar tablas, relaciones y conteos. Tener un .dump no demuestra recuperación hasta completar esta prueba. Respaldar por separado .local/uploads cuando se necesite conservar archivos cargados.</w:t>
      </w:r>
    </w:p>
    <w:p w14:paraId="0AEF56BC" w14:textId="77777777" w:rsidR="00510C7F" w:rsidRDefault="00510C7F">
      <w:pPr>
        <w:pStyle w:val="APTTexto"/>
        <w:spacing w:after="60" w:line="20" w:lineRule="exact"/>
      </w:pPr>
    </w:p>
    <w:p w14:paraId="1ADF2FD5" w14:textId="77777777" w:rsidR="00510C7F" w:rsidRDefault="00000000">
      <w:pPr>
        <w:pStyle w:val="Ttulo1"/>
      </w:pPr>
      <w:bookmarkStart w:id="11" w:name="_Toc242230334"/>
      <w:r>
        <w:rPr>
          <w:rFonts w:ascii="Calibri" w:eastAsia="Calibri" w:hAnsi="Calibri" w:cs="Calibri"/>
          <w:lang w:val="es-CL"/>
        </w:rPr>
        <w:t>8. Empaquetado y publicación</w:t>
      </w:r>
      <w:bookmarkEnd w:id="11"/>
    </w:p>
    <w:p w14:paraId="7F3AC76E" w14:textId="77777777" w:rsidR="00510C7F" w:rsidRDefault="00000000">
      <w:pPr>
        <w:pStyle w:val="APTCdigo"/>
        <w:keepLines/>
        <w:shd w:val="clear" w:color="auto" w:fill="F2F2F2"/>
        <w:ind w:left="102" w:right="102"/>
      </w:pPr>
      <w:r>
        <w:rPr>
          <w:rFonts w:eastAsia="Consolas" w:cs="Consolas"/>
          <w:lang w:val="es-CL"/>
        </w:rPr>
        <w:t>$env:FOCUSBUDDY_APP_URL = 'https://konea.example'</w:t>
      </w:r>
      <w:r>
        <w:rPr>
          <w:rFonts w:eastAsia="Consolas" w:cs="Consolas"/>
          <w:lang w:val="es-CL"/>
        </w:rPr>
        <w:br/>
        <w:t>npm run dist:focusbuddy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891"/>
        <w:gridCol w:w="5613"/>
      </w:tblGrid>
      <w:tr w:rsidR="00510C7F" w14:paraId="3EA6C704" w14:textId="77777777">
        <w:trPr>
          <w:cantSplit/>
          <w:tblHeader/>
        </w:trPr>
        <w:tc>
          <w:tcPr>
            <w:tcW w:w="2891" w:type="dxa"/>
            <w:shd w:val="clear" w:color="auto" w:fill="D9E2F3"/>
          </w:tcPr>
          <w:p w14:paraId="0D01CAFD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Artefacto / condición</w:t>
            </w:r>
          </w:p>
        </w:tc>
        <w:tc>
          <w:tcPr>
            <w:tcW w:w="5613" w:type="dxa"/>
            <w:shd w:val="clear" w:color="auto" w:fill="D9E2F3"/>
          </w:tcPr>
          <w:p w14:paraId="18D5017D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Tratamiento</w:t>
            </w:r>
          </w:p>
        </w:tc>
      </w:tr>
      <w:tr w:rsidR="00510C7F" w14:paraId="387131DB" w14:textId="77777777">
        <w:trPr>
          <w:cantSplit/>
        </w:trPr>
        <w:tc>
          <w:tcPr>
            <w:tcW w:w="2891" w:type="dxa"/>
            <w:shd w:val="clear" w:color="auto" w:fill="FFFFFF"/>
          </w:tcPr>
          <w:p w14:paraId="1F2DBD8C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NSIS x64</w:t>
            </w:r>
          </w:p>
        </w:tc>
        <w:tc>
          <w:tcPr>
            <w:tcW w:w="5613" w:type="dxa"/>
            <w:shd w:val="clear" w:color="auto" w:fill="FFFFFF"/>
          </w:tcPr>
          <w:p w14:paraId="38CD5636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Konea-FocusBuddy-0.1.0-x64.exe en apps/focusbuddy/release.</w:t>
            </w:r>
          </w:p>
        </w:tc>
      </w:tr>
      <w:tr w:rsidR="00510C7F" w14:paraId="606F975F" w14:textId="77777777">
        <w:trPr>
          <w:cantSplit/>
        </w:trPr>
        <w:tc>
          <w:tcPr>
            <w:tcW w:w="2891" w:type="dxa"/>
            <w:shd w:val="clear" w:color="auto" w:fill="FFFFFF"/>
          </w:tcPr>
          <w:p w14:paraId="69926909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Endpoint</w:t>
            </w:r>
          </w:p>
        </w:tc>
        <w:tc>
          <w:tcPr>
            <w:tcW w:w="5613" w:type="dxa"/>
            <w:shd w:val="clear" w:color="auto" w:fill="FFFFFF"/>
          </w:tcPr>
          <w:p w14:paraId="30D46D3D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Se incorpora al paquete; en producción debe ser HTTPS y sin credenciales/query/fragment.</w:t>
            </w:r>
          </w:p>
        </w:tc>
      </w:tr>
      <w:tr w:rsidR="00510C7F" w14:paraId="6BD0BF9D" w14:textId="77777777">
        <w:trPr>
          <w:cantSplit/>
        </w:trPr>
        <w:tc>
          <w:tcPr>
            <w:tcW w:w="2891" w:type="dxa"/>
            <w:shd w:val="clear" w:color="auto" w:fill="FFFFFF"/>
          </w:tcPr>
          <w:p w14:paraId="340F0C07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Descarga web</w:t>
            </w:r>
          </w:p>
        </w:tc>
        <w:tc>
          <w:tcPr>
            <w:tcW w:w="5613" w:type="dxa"/>
            <w:shd w:val="clear" w:color="auto" w:fill="FFFFFF"/>
          </w:tcPr>
          <w:p w14:paraId="404D2D54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VITE_FOCUSBUDDY_DOWNLOAD_URL debe apuntar a un instalador HTTPS estable.</w:t>
            </w:r>
          </w:p>
        </w:tc>
      </w:tr>
      <w:tr w:rsidR="00510C7F" w14:paraId="1BD08805" w14:textId="77777777">
        <w:trPr>
          <w:cantSplit/>
        </w:trPr>
        <w:tc>
          <w:tcPr>
            <w:tcW w:w="2891" w:type="dxa"/>
            <w:shd w:val="clear" w:color="auto" w:fill="FFFFFF"/>
          </w:tcPr>
          <w:p w14:paraId="4253CA8B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Firma</w:t>
            </w:r>
          </w:p>
        </w:tc>
        <w:tc>
          <w:tcPr>
            <w:tcW w:w="5613" w:type="dxa"/>
            <w:shd w:val="clear" w:color="auto" w:fill="FFFFFF"/>
          </w:tcPr>
          <w:p w14:paraId="238E0E8A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El instalador actual no está firmado. Firmar antes de distribución amplia.</w:t>
            </w:r>
          </w:p>
        </w:tc>
      </w:tr>
      <w:tr w:rsidR="00510C7F" w14:paraId="768E0E0D" w14:textId="77777777">
        <w:trPr>
          <w:cantSplit/>
        </w:trPr>
        <w:tc>
          <w:tcPr>
            <w:tcW w:w="2891" w:type="dxa"/>
            <w:shd w:val="clear" w:color="auto" w:fill="FFFFFF"/>
          </w:tcPr>
          <w:p w14:paraId="29FEF106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Actualizaciones</w:t>
            </w:r>
          </w:p>
        </w:tc>
        <w:tc>
          <w:tcPr>
            <w:tcW w:w="5613" w:type="dxa"/>
            <w:shd w:val="clear" w:color="auto" w:fill="FFFFFF"/>
          </w:tcPr>
          <w:p w14:paraId="3471386A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 hay actualizador automático; diseñar canal y verificación antes de producción.</w:t>
            </w:r>
          </w:p>
        </w:tc>
      </w:tr>
    </w:tbl>
    <w:p w14:paraId="42BDF6DE" w14:textId="77777777" w:rsidR="00510C7F" w:rsidRDefault="00510C7F">
      <w:pPr>
        <w:pStyle w:val="APTTexto"/>
        <w:spacing w:after="60" w:line="20" w:lineRule="exact"/>
      </w:pPr>
    </w:p>
    <w:p w14:paraId="0CB47D17" w14:textId="77777777" w:rsidR="00510C7F" w:rsidRDefault="00000000">
      <w:pPr>
        <w:pStyle w:val="Ttulo1"/>
      </w:pPr>
      <w:bookmarkStart w:id="12" w:name="_Toc242230335"/>
      <w:r>
        <w:rPr>
          <w:rFonts w:ascii="Calibri" w:eastAsia="Calibri" w:hAnsi="Calibri" w:cs="Calibri"/>
          <w:lang w:val="es-CL"/>
        </w:rPr>
        <w:t>9. Diagnóstico y detención</w:t>
      </w:r>
      <w:bookmarkEnd w:id="12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891"/>
        <w:gridCol w:w="5613"/>
      </w:tblGrid>
      <w:tr w:rsidR="00510C7F" w14:paraId="285ED3AB" w14:textId="77777777">
        <w:trPr>
          <w:cantSplit/>
          <w:tblHeader/>
        </w:trPr>
        <w:tc>
          <w:tcPr>
            <w:tcW w:w="2891" w:type="dxa"/>
            <w:shd w:val="clear" w:color="auto" w:fill="D9E2F3"/>
          </w:tcPr>
          <w:p w14:paraId="032F980D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Síntoma</w:t>
            </w:r>
          </w:p>
        </w:tc>
        <w:tc>
          <w:tcPr>
            <w:tcW w:w="5613" w:type="dxa"/>
            <w:shd w:val="clear" w:color="auto" w:fill="D9E2F3"/>
          </w:tcPr>
          <w:p w14:paraId="53E8E325" w14:textId="77777777" w:rsidR="00510C7F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Diagnóstico seguro</w:t>
            </w:r>
          </w:p>
        </w:tc>
      </w:tr>
      <w:tr w:rsidR="00510C7F" w14:paraId="6EA0BE1F" w14:textId="77777777">
        <w:trPr>
          <w:cantSplit/>
        </w:trPr>
        <w:tc>
          <w:tcPr>
            <w:tcW w:w="2891" w:type="dxa"/>
            <w:shd w:val="clear" w:color="auto" w:fill="FFFFFF"/>
          </w:tcPr>
          <w:p w14:paraId="58EB0DB4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Docker no responde</w:t>
            </w:r>
          </w:p>
        </w:tc>
        <w:tc>
          <w:tcPr>
            <w:tcW w:w="5613" w:type="dxa"/>
            <w:shd w:val="clear" w:color="auto" w:fill="FFFFFF"/>
          </w:tcPr>
          <w:p w14:paraId="4C799046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Abrir Docker Desktop; revisar docker info y virtualización/WSL2.</w:t>
            </w:r>
          </w:p>
        </w:tc>
      </w:tr>
      <w:tr w:rsidR="00510C7F" w14:paraId="09CBD5AA" w14:textId="77777777">
        <w:trPr>
          <w:cantSplit/>
        </w:trPr>
        <w:tc>
          <w:tcPr>
            <w:tcW w:w="2891" w:type="dxa"/>
            <w:shd w:val="clear" w:color="auto" w:fill="FFFFFF"/>
          </w:tcPr>
          <w:p w14:paraId="27AA8C4C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lastRenderedPageBreak/>
              <w:t>Se detiene en IA</w:t>
            </w:r>
          </w:p>
        </w:tc>
        <w:tc>
          <w:tcPr>
            <w:tcW w:w="5613" w:type="dxa"/>
            <w:shd w:val="clear" w:color="auto" w:fill="FFFFFF"/>
          </w:tcPr>
          <w:p w14:paraId="54D4FBC7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Revisar DUCO_AI_PROVIDER. El launcher debe caer a local; comprobar Ollama/modelo o permisos OpenAI.</w:t>
            </w:r>
          </w:p>
        </w:tc>
      </w:tr>
      <w:tr w:rsidR="00510C7F" w14:paraId="0E9E3477" w14:textId="77777777">
        <w:trPr>
          <w:cantSplit/>
        </w:trPr>
        <w:tc>
          <w:tcPr>
            <w:tcW w:w="2891" w:type="dxa"/>
            <w:shd w:val="clear" w:color="auto" w:fill="FFFFFF"/>
          </w:tcPr>
          <w:p w14:paraId="6BD0A276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Puerto 3000/5173 ocupado</w:t>
            </w:r>
          </w:p>
        </w:tc>
        <w:tc>
          <w:tcPr>
            <w:tcW w:w="5613" w:type="dxa"/>
            <w:shd w:val="clear" w:color="auto" w:fill="FFFFFF"/>
          </w:tcPr>
          <w:p w14:paraId="3DF5828D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Identificar proceso. No finalizar procesos desconocidos; detener la instancia anterior de Konea.</w:t>
            </w:r>
          </w:p>
        </w:tc>
      </w:tr>
      <w:tr w:rsidR="00510C7F" w14:paraId="1A86434B" w14:textId="77777777">
        <w:trPr>
          <w:cantSplit/>
        </w:trPr>
        <w:tc>
          <w:tcPr>
            <w:tcW w:w="2891" w:type="dxa"/>
            <w:shd w:val="clear" w:color="auto" w:fill="FFFFFF"/>
          </w:tcPr>
          <w:p w14:paraId="664F7984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Tablas ausentes</w:t>
            </w:r>
          </w:p>
        </w:tc>
        <w:tc>
          <w:tcPr>
            <w:tcW w:w="5613" w:type="dxa"/>
            <w:shd w:val="clear" w:color="auto" w:fill="FFFFFF"/>
          </w:tcPr>
          <w:p w14:paraId="11F5B750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docker compose ps, npm run db:migrate y confirmar DATABASE_URL correcta.</w:t>
            </w:r>
          </w:p>
        </w:tc>
      </w:tr>
      <w:tr w:rsidR="00510C7F" w14:paraId="1D0D3593" w14:textId="77777777">
        <w:trPr>
          <w:cantSplit/>
        </w:trPr>
        <w:tc>
          <w:tcPr>
            <w:tcW w:w="2891" w:type="dxa"/>
            <w:shd w:val="clear" w:color="auto" w:fill="FFFFFF"/>
          </w:tcPr>
          <w:p w14:paraId="2BD055CF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Web no llega a API</w:t>
            </w:r>
          </w:p>
        </w:tc>
        <w:tc>
          <w:tcPr>
            <w:tcW w:w="5613" w:type="dxa"/>
            <w:shd w:val="clear" w:color="auto" w:fill="FFFFFF"/>
          </w:tcPr>
          <w:p w14:paraId="7278BD90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Comprobar /api/v1/health, proxy de Vite, CORS_ORIGIN y puertos.</w:t>
            </w:r>
          </w:p>
        </w:tc>
      </w:tr>
      <w:tr w:rsidR="00510C7F" w14:paraId="33F7C394" w14:textId="77777777">
        <w:trPr>
          <w:cantSplit/>
        </w:trPr>
        <w:tc>
          <w:tcPr>
            <w:tcW w:w="2891" w:type="dxa"/>
            <w:shd w:val="clear" w:color="auto" w:fill="FFFFFF"/>
          </w:tcPr>
          <w:p w14:paraId="1ECD1069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DUCO no muestra acción</w:t>
            </w:r>
          </w:p>
        </w:tc>
        <w:tc>
          <w:tcPr>
            <w:tcW w:w="5613" w:type="dxa"/>
            <w:shd w:val="clear" w:color="auto" w:fill="FFFFFF"/>
          </w:tcPr>
          <w:p w14:paraId="3BFB54FA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Revisar campos mínimos, provider efectivo y fallback; no asumir que el texto creó algo.</w:t>
            </w:r>
          </w:p>
        </w:tc>
      </w:tr>
      <w:tr w:rsidR="00510C7F" w14:paraId="3B7BFCAC" w14:textId="77777777">
        <w:trPr>
          <w:cantSplit/>
        </w:trPr>
        <w:tc>
          <w:tcPr>
            <w:tcW w:w="2891" w:type="dxa"/>
            <w:shd w:val="clear" w:color="auto" w:fill="FFFFFF"/>
          </w:tcPr>
          <w:p w14:paraId="4316C68E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FocusBuddy offline</w:t>
            </w:r>
          </w:p>
        </w:tc>
        <w:tc>
          <w:tcPr>
            <w:tcW w:w="5613" w:type="dxa"/>
            <w:shd w:val="clear" w:color="auto" w:fill="FFFFFF"/>
          </w:tcPr>
          <w:p w14:paraId="5BCBFB7E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Levantar web/API; el cliente no contiene servidor ni datos autónomos.</w:t>
            </w:r>
          </w:p>
        </w:tc>
      </w:tr>
      <w:tr w:rsidR="00510C7F" w14:paraId="2521F989" w14:textId="77777777">
        <w:trPr>
          <w:cantSplit/>
        </w:trPr>
        <w:tc>
          <w:tcPr>
            <w:tcW w:w="2891" w:type="dxa"/>
            <w:shd w:val="clear" w:color="auto" w:fill="FFFFFF"/>
          </w:tcPr>
          <w:p w14:paraId="1E991B8B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Pruebas ECONNREFUSED 5432</w:t>
            </w:r>
          </w:p>
        </w:tc>
        <w:tc>
          <w:tcPr>
            <w:tcW w:w="5613" w:type="dxa"/>
            <w:shd w:val="clear" w:color="auto" w:fill="FFFFFF"/>
          </w:tcPr>
          <w:p w14:paraId="72C25ACA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Levantar PostgreSQL y usar una DATABASE_URL de prueba migrada.</w:t>
            </w:r>
          </w:p>
        </w:tc>
      </w:tr>
      <w:tr w:rsidR="00510C7F" w14:paraId="75ECD0B1" w14:textId="77777777">
        <w:trPr>
          <w:cantSplit/>
        </w:trPr>
        <w:tc>
          <w:tcPr>
            <w:tcW w:w="2891" w:type="dxa"/>
            <w:shd w:val="clear" w:color="auto" w:fill="FFFFFF"/>
          </w:tcPr>
          <w:p w14:paraId="236EC3E1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Compilación Electron</w:t>
            </w:r>
          </w:p>
        </w:tc>
        <w:tc>
          <w:tcPr>
            <w:tcW w:w="5613" w:type="dxa"/>
            <w:shd w:val="clear" w:color="auto" w:fill="FFFFFF"/>
          </w:tcPr>
          <w:p w14:paraId="6B5D50AC" w14:textId="77777777" w:rsidR="00510C7F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npm run build; luego dist:focusbuddy. Revisar URL configurada y archivos de release.</w:t>
            </w:r>
          </w:p>
        </w:tc>
      </w:tr>
    </w:tbl>
    <w:p w14:paraId="190EFA08" w14:textId="77777777" w:rsidR="00510C7F" w:rsidRDefault="00510C7F">
      <w:pPr>
        <w:pStyle w:val="APTTexto"/>
        <w:spacing w:after="60" w:line="20" w:lineRule="exact"/>
      </w:pPr>
    </w:p>
    <w:p w14:paraId="6E9AD5C0" w14:textId="77777777" w:rsidR="00510C7F" w:rsidRDefault="00000000">
      <w:pPr>
        <w:pStyle w:val="APTCdigo"/>
        <w:keepLines/>
        <w:shd w:val="clear" w:color="auto" w:fill="F2F2F2"/>
        <w:ind w:left="102" w:right="102"/>
      </w:pPr>
      <w:r>
        <w:rPr>
          <w:rFonts w:eastAsia="Consolas" w:cs="Consolas"/>
          <w:lang w:val="es-CL"/>
        </w:rPr>
        <w:t># Detener web/API: Ctrl+C en la consola de iniciar.bat</w:t>
      </w:r>
      <w:r>
        <w:rPr>
          <w:rFonts w:eastAsia="Consolas" w:cs="Consolas"/>
          <w:lang w:val="es-CL"/>
        </w:rPr>
        <w:br/>
        <w:t># Detener PostgreSQL conservando datos</w:t>
      </w:r>
      <w:r>
        <w:rPr>
          <w:rFonts w:eastAsia="Consolas" w:cs="Consolas"/>
          <w:lang w:val="es-CL"/>
        </w:rPr>
        <w:br/>
        <w:t>npm run db:down</w:t>
      </w:r>
    </w:p>
    <w:p w14:paraId="45072694" w14:textId="77777777" w:rsidR="00510C7F" w:rsidRDefault="00000000">
      <w:pPr>
        <w:pStyle w:val="Ttulo1"/>
      </w:pPr>
      <w:bookmarkStart w:id="13" w:name="_Toc242230336"/>
      <w:r>
        <w:rPr>
          <w:rFonts w:ascii="Calibri" w:eastAsia="Calibri" w:hAnsi="Calibri" w:cs="Calibri"/>
          <w:lang w:val="es-CL"/>
        </w:rPr>
        <w:t>10. Límites productivos y lista de entrega</w:t>
      </w:r>
      <w:bookmarkEnd w:id="13"/>
    </w:p>
    <w:p w14:paraId="3E5FD11C" w14:textId="77777777" w:rsidR="00510C7F" w:rsidRDefault="00000000">
      <w:pPr>
        <w:pStyle w:val="Listaconvietas"/>
      </w:pPr>
      <w:r>
        <w:rPr>
          <w:rFonts w:eastAsia="Calibri" w:cs="Calibri"/>
          <w:lang w:val="es-CL"/>
        </w:rPr>
        <w:t>Publicar web y API con HTTPS y proceso persistente.</w:t>
      </w:r>
    </w:p>
    <w:p w14:paraId="7CE5F4BD" w14:textId="77777777" w:rsidR="00510C7F" w:rsidRDefault="00000000">
      <w:pPr>
        <w:pStyle w:val="Listaconvietas"/>
      </w:pPr>
      <w:r>
        <w:rPr>
          <w:rFonts w:eastAsia="Calibri" w:cs="Calibri"/>
          <w:lang w:val="es-CL"/>
        </w:rPr>
        <w:t>Usar PostgreSQL administrado o estrategia operacional equivalente.</w:t>
      </w:r>
    </w:p>
    <w:p w14:paraId="1CEAE123" w14:textId="77777777" w:rsidR="00510C7F" w:rsidRDefault="00000000">
      <w:pPr>
        <w:pStyle w:val="Listaconvietas"/>
      </w:pPr>
      <w:r>
        <w:rPr>
          <w:rFonts w:eastAsia="Calibri" w:cs="Calibri"/>
          <w:lang w:val="es-CL"/>
        </w:rPr>
        <w:t>Configurar secretos fuera del repositorio y rotarlos si se exponen.</w:t>
      </w:r>
    </w:p>
    <w:p w14:paraId="79CBB389" w14:textId="77777777" w:rsidR="00510C7F" w:rsidRDefault="00000000">
      <w:pPr>
        <w:pStyle w:val="Listaconvietas"/>
      </w:pPr>
      <w:r>
        <w:rPr>
          <w:rFonts w:eastAsia="Calibri" w:cs="Calibri"/>
          <w:lang w:val="es-CL"/>
        </w:rPr>
        <w:t>Migrar uploads a almacenamiento privado con escaneo y retención.</w:t>
      </w:r>
    </w:p>
    <w:p w14:paraId="16B374F9" w14:textId="77777777" w:rsidR="00510C7F" w:rsidRDefault="00000000">
      <w:pPr>
        <w:pStyle w:val="Listaconvietas"/>
      </w:pPr>
      <w:r>
        <w:rPr>
          <w:rFonts w:eastAsia="Calibri" w:cs="Calibri"/>
          <w:lang w:val="es-CL"/>
        </w:rPr>
        <w:t>Ejecutar respaldo/restauración, rendimiento, accesibilidad y E2E.</w:t>
      </w:r>
    </w:p>
    <w:p w14:paraId="7D9B4500" w14:textId="77777777" w:rsidR="00510C7F" w:rsidRDefault="00000000">
      <w:pPr>
        <w:pStyle w:val="Listaconvietas"/>
      </w:pPr>
      <w:r>
        <w:rPr>
          <w:rFonts w:eastAsia="Calibri" w:cs="Calibri"/>
          <w:lang w:val="es-CL"/>
        </w:rPr>
        <w:t>Eliminar/rotar admin demo y desactivar seeds de desarrollo.</w:t>
      </w:r>
    </w:p>
    <w:p w14:paraId="48B31B51" w14:textId="77777777" w:rsidR="00510C7F" w:rsidRDefault="00000000">
      <w:pPr>
        <w:pStyle w:val="Listaconvietas"/>
      </w:pPr>
      <w:r>
        <w:rPr>
          <w:rFonts w:eastAsia="Calibri" w:cs="Calibri"/>
          <w:lang w:val="es-CL"/>
        </w:rPr>
        <w:t>Firmar el instalador y verificarlo en un equipo limpio.</w:t>
      </w:r>
    </w:p>
    <w:p w14:paraId="1A2BD842" w14:textId="77777777" w:rsidR="00510C7F" w:rsidRDefault="00000000">
      <w:pPr>
        <w:pStyle w:val="Listaconvietas"/>
      </w:pPr>
      <w:r>
        <w:rPr>
          <w:rFonts w:eastAsia="Calibri" w:cs="Calibri"/>
          <w:lang w:val="es-CL"/>
        </w:rPr>
        <w:t>Completar sprites definitivos y validar reduced-motion.</w:t>
      </w:r>
    </w:p>
    <w:p w14:paraId="1F1409AF" w14:textId="77777777" w:rsidR="00510C7F" w:rsidRDefault="00000000">
      <w:pPr>
        <w:pStyle w:val="Listaconvietas"/>
      </w:pPr>
      <w:r>
        <w:rPr>
          <w:rFonts w:eastAsia="Calibri" w:cs="Calibri"/>
          <w:lang w:val="es-CL"/>
        </w:rPr>
        <w:t>Aclarar límites de AVA, DUCO, solicitudes y bienestar.</w:t>
      </w:r>
    </w:p>
    <w:p w14:paraId="5EC450C5" w14:textId="77777777" w:rsidR="00510C7F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Conclusión operativa</w:t>
      </w:r>
    </w:p>
    <w:p w14:paraId="2C5B795F" w14:textId="77777777" w:rsidR="00510C7F" w:rsidRDefault="00000000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El entorno local es reproducible y el launcher integra base, migraciones, contenido demo, IA, API, web y FocusBuddy. El despliegue público sigue siendo trabajo futuro y no debe describirse como completado.</w:t>
      </w:r>
    </w:p>
    <w:p w14:paraId="4C4C0941" w14:textId="77777777" w:rsidR="00510C7F" w:rsidRDefault="00510C7F">
      <w:pPr>
        <w:pStyle w:val="APTTexto"/>
        <w:spacing w:after="60" w:line="20" w:lineRule="exact"/>
      </w:pPr>
    </w:p>
    <w:sectPr w:rsidR="00510C7F" w:rsidSect="00034616">
      <w:headerReference w:type="default" r:id="rId8"/>
      <w:footerReference w:type="default" r:id="rId9"/>
      <w:pgSz w:w="11906" w:h="16838"/>
      <w:pgMar w:top="1417" w:right="1701" w:bottom="1417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D9C1E" w14:textId="77777777" w:rsidR="00954E1E" w:rsidRDefault="00954E1E">
      <w:pPr>
        <w:spacing w:after="0" w:line="240" w:lineRule="auto"/>
      </w:pPr>
      <w:r>
        <w:separator/>
      </w:r>
    </w:p>
  </w:endnote>
  <w:endnote w:type="continuationSeparator" w:id="0">
    <w:p w14:paraId="052F7F90" w14:textId="77777777" w:rsidR="00954E1E" w:rsidRDefault="00954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0D91A" w14:textId="77777777" w:rsidR="00510C7F" w:rsidRDefault="00000000">
    <w:pPr>
      <w:spacing w:after="0"/>
      <w:jc w:val="right"/>
    </w:pPr>
    <w:r>
      <w:rPr>
        <w:rFonts w:eastAsia="Calibri" w:cs="Calibri"/>
        <w:color w:val="595959"/>
        <w:sz w:val="18"/>
        <w:lang w:val="es-CL"/>
      </w:rPr>
      <w:t xml:space="preserve">Página </w:t>
    </w:r>
    <w:r>
      <w:rPr>
        <w:rFonts w:eastAsia="Calibri" w:cs="Calibri"/>
        <w:color w:val="595959"/>
        <w:sz w:val="18"/>
        <w:lang w:val="es-CL"/>
      </w:rPr>
      <w:fldChar w:fldCharType="begin"/>
    </w:r>
    <w:r>
      <w:rPr>
        <w:rFonts w:eastAsia="Calibri" w:cs="Calibri"/>
        <w:color w:val="595959"/>
        <w:sz w:val="18"/>
        <w:lang w:val="es-CL"/>
      </w:rPr>
      <w:instrText>PAGE</w:instrText>
    </w:r>
    <w:r w:rsidR="00F840B5">
      <w:rPr>
        <w:rFonts w:eastAsia="Calibri" w:cs="Calibri"/>
        <w:color w:val="595959"/>
        <w:sz w:val="18"/>
        <w:lang w:val="es-CL"/>
      </w:rPr>
      <w:fldChar w:fldCharType="separate"/>
    </w:r>
    <w:r w:rsidR="00F840B5">
      <w:rPr>
        <w:rFonts w:eastAsia="Calibri" w:cs="Calibri"/>
        <w:noProof/>
        <w:color w:val="595959"/>
        <w:sz w:val="18"/>
        <w:lang w:val="es-CL"/>
      </w:rPr>
      <w:t>1</w:t>
    </w:r>
    <w:r>
      <w:rPr>
        <w:rFonts w:eastAsia="Calibri" w:cs="Calibri"/>
        <w:color w:val="595959"/>
        <w:sz w:val="18"/>
        <w:lang w:val="es-C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3B76F" w14:textId="77777777" w:rsidR="00954E1E" w:rsidRDefault="00954E1E">
      <w:pPr>
        <w:spacing w:after="0" w:line="240" w:lineRule="auto"/>
      </w:pPr>
      <w:r>
        <w:separator/>
      </w:r>
    </w:p>
  </w:footnote>
  <w:footnote w:type="continuationSeparator" w:id="0">
    <w:p w14:paraId="202F98A7" w14:textId="77777777" w:rsidR="00954E1E" w:rsidRDefault="00954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1" w:type="dxa"/>
      <w:tblInd w:w="-709" w:type="dxa"/>
      <w:tblLayout w:type="fixed"/>
      <w:tblLook w:val="04A0" w:firstRow="1" w:lastRow="0" w:firstColumn="1" w:lastColumn="0" w:noHBand="0" w:noVBand="1"/>
    </w:tblPr>
    <w:tblGrid>
      <w:gridCol w:w="6406"/>
      <w:gridCol w:w="3515"/>
    </w:tblGrid>
    <w:tr w:rsidR="005B0610" w:rsidRPr="00A7239E" w14:paraId="0CDF6563" w14:textId="77777777" w:rsidTr="00446279">
      <w:trPr>
        <w:trHeight w:val="697"/>
      </w:trPr>
      <w:tc>
        <w:tcPr>
          <w:tcW w:w="6406" w:type="dxa"/>
          <w:tcBorders>
            <w:top w:val="nil"/>
            <w:left w:val="nil"/>
            <w:bottom w:val="nil"/>
            <w:right w:val="nil"/>
          </w:tcBorders>
        </w:tcPr>
        <w:p w14:paraId="6F6B87E3" w14:textId="77777777" w:rsidR="00510C7F" w:rsidRDefault="00000000">
          <w:pPr>
            <w:spacing w:after="0" w:line="240" w:lineRule="auto"/>
          </w:pPr>
          <w:r>
            <w:rPr>
              <w:rFonts w:eastAsia="Calibri" w:cs="Calibri"/>
              <w:b/>
              <w:color w:val="1D2763"/>
              <w:sz w:val="24"/>
              <w:lang w:val="es-CL"/>
            </w:rPr>
            <w:t>Manual técnico y de despliegue</w:t>
          </w:r>
          <w:r>
            <w:rPr>
              <w:rFonts w:eastAsia="Calibri" w:cs="Calibri"/>
              <w:b/>
              <w:color w:val="1D2763"/>
              <w:sz w:val="24"/>
              <w:lang w:val="es-CL"/>
            </w:rPr>
            <w:br/>
            <w:t>Fase 2</w:t>
          </w:r>
        </w:p>
      </w:tc>
      <w:tc>
        <w:tcPr>
          <w:tcW w:w="3515" w:type="dxa"/>
          <w:tcBorders>
            <w:top w:val="nil"/>
            <w:left w:val="nil"/>
            <w:bottom w:val="nil"/>
            <w:right w:val="nil"/>
          </w:tcBorders>
        </w:tcPr>
        <w:p w14:paraId="0B490F5F" w14:textId="77777777" w:rsidR="00000000" w:rsidRPr="00A7239E" w:rsidRDefault="0000000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Logo Duoc UC" descr="Logo Duoc UC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1415171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</w:abstractNum>
  <w:num w:numId="1" w16cid:durableId="1326473262">
    <w:abstractNumId w:val="8"/>
  </w:num>
  <w:num w:numId="2" w16cid:durableId="2062897109">
    <w:abstractNumId w:val="6"/>
  </w:num>
  <w:num w:numId="3" w16cid:durableId="1408720666">
    <w:abstractNumId w:val="5"/>
  </w:num>
  <w:num w:numId="4" w16cid:durableId="1875191143">
    <w:abstractNumId w:val="4"/>
  </w:num>
  <w:num w:numId="5" w16cid:durableId="214512148">
    <w:abstractNumId w:val="7"/>
  </w:num>
  <w:num w:numId="6" w16cid:durableId="1062602521">
    <w:abstractNumId w:val="3"/>
  </w:num>
  <w:num w:numId="7" w16cid:durableId="1313673865">
    <w:abstractNumId w:val="2"/>
  </w:num>
  <w:num w:numId="8" w16cid:durableId="194275242">
    <w:abstractNumId w:val="1"/>
  </w:num>
  <w:num w:numId="9" w16cid:durableId="41197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0C7F"/>
    <w:rsid w:val="00954E1E"/>
    <w:rsid w:val="00AA1D8D"/>
    <w:rsid w:val="00B47730"/>
    <w:rsid w:val="00CB0664"/>
    <w:rsid w:val="00F840B5"/>
    <w:rsid w:val="00FA4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5014FA"/>
  <w14:defaultImageDpi w14:val="300"/>
  <w15:docId w15:val="{2E16BCBC-DC84-4FBC-ACBF-B4235CB22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Aptos" w:hAnsi="Calibri"/>
      <w:color w:val="2020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line="252" w:lineRule="auto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100" w:line="252" w:lineRule="auto"/>
      <w:outlineLvl w:val="1"/>
    </w:pPr>
    <w:rPr>
      <w:rFonts w:asciiTheme="majorHAnsi" w:eastAsiaTheme="majorEastAsia" w:hAnsiTheme="majorHAnsi" w:cstheme="majorBidi"/>
      <w:b/>
      <w:bCs/>
      <w:color w:val="1F3864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32125F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Konea">
    <w:name w:val="Code Konea"/>
    <w:pPr>
      <w:spacing w:before="60" w:after="100"/>
      <w:ind w:left="198" w:right="198"/>
    </w:pPr>
    <w:rPr>
      <w:rFonts w:ascii="Cascadia Mono" w:hAnsi="Cascadia Mono"/>
      <w:color w:val="1D1630"/>
      <w:sz w:val="16"/>
    </w:rPr>
  </w:style>
  <w:style w:type="paragraph" w:customStyle="1" w:styleId="APTTexto">
    <w:name w:val="APT Texto"/>
    <w:basedOn w:val="Normal"/>
  </w:style>
  <w:style w:type="paragraph" w:customStyle="1" w:styleId="APTTabla">
    <w:name w:val="APT Tabla"/>
    <w:basedOn w:val="Normal"/>
    <w:pPr>
      <w:spacing w:after="40" w:line="240" w:lineRule="auto"/>
    </w:pPr>
    <w:rPr>
      <w:sz w:val="19"/>
    </w:rPr>
  </w:style>
  <w:style w:type="paragraph" w:customStyle="1" w:styleId="APTNota">
    <w:name w:val="APT Nota"/>
    <w:basedOn w:val="Normal"/>
    <w:pPr>
      <w:spacing w:line="252" w:lineRule="auto"/>
    </w:pPr>
    <w:rPr>
      <w:sz w:val="20"/>
    </w:rPr>
  </w:style>
  <w:style w:type="paragraph" w:customStyle="1" w:styleId="APTNotaTtulo">
    <w:name w:val="APT Nota Título"/>
    <w:basedOn w:val="Normal"/>
    <w:pPr>
      <w:spacing w:after="40" w:line="252" w:lineRule="auto"/>
    </w:pPr>
    <w:rPr>
      <w:b/>
      <w:color w:val="1F3864"/>
      <w:sz w:val="20"/>
    </w:rPr>
  </w:style>
  <w:style w:type="paragraph" w:customStyle="1" w:styleId="APTCdigo">
    <w:name w:val="APT Código"/>
    <w:basedOn w:val="Normal"/>
    <w:pPr>
      <w:spacing w:line="240" w:lineRule="auto"/>
    </w:pPr>
    <w:rPr>
      <w:rFonts w:ascii="Consolas" w:hAnsi="Consolas"/>
      <w:sz w:val="17"/>
    </w:rPr>
  </w:style>
  <w:style w:type="paragraph" w:customStyle="1" w:styleId="APTProyecto">
    <w:name w:val="APT Proyecto"/>
    <w:basedOn w:val="Normal"/>
    <w:pPr>
      <w:spacing w:after="140" w:line="264" w:lineRule="auto"/>
    </w:pPr>
    <w:rPr>
      <w:b/>
      <w:color w:val="1F3864"/>
      <w:sz w:val="32"/>
    </w:rPr>
  </w:style>
  <w:style w:type="paragraph" w:customStyle="1" w:styleId="APTSubttulo">
    <w:name w:val="APT Subtítulo"/>
    <w:basedOn w:val="Normal"/>
    <w:pPr>
      <w:spacing w:after="200" w:line="264" w:lineRule="auto"/>
    </w:pPr>
    <w:rPr>
      <w:color w:val="1F3864"/>
    </w:rPr>
  </w:style>
  <w:style w:type="paragraph" w:customStyle="1" w:styleId="APTndice">
    <w:name w:val="APT Índice"/>
    <w:basedOn w:val="Normal"/>
    <w:pPr>
      <w:spacing w:after="180" w:line="269" w:lineRule="auto"/>
    </w:pPr>
    <w:rPr>
      <w:color w:val="1F3864"/>
    </w:rPr>
  </w:style>
  <w:style w:type="paragraph" w:customStyle="1" w:styleId="APTLeyenda">
    <w:name w:val="APT Leyenda"/>
    <w:basedOn w:val="Normal"/>
    <w:pPr>
      <w:spacing w:after="100" w:line="240" w:lineRule="auto"/>
    </w:pPr>
    <w:rPr>
      <w:color w:val="595959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F840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840B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840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1754</Words>
  <Characters>9650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y de despliegue — Konea Focus</dc:title>
  <dc:subject>Capstone · Fase 2</dc:subject>
  <dc:creator>Equipo Konea: Oscar Callejas, Hilary Torres y Danae Muñoz</dc:creator>
  <cp:keywords>Konea Focus, Capstone, Duoc UC, Fase 2</cp:keywords>
  <dc:description>Versión corregida a partir de auditoría del repositorio y documentos de Drive.</dc:description>
  <cp:lastModifiedBy>danae munoz</cp:lastModifiedBy>
  <cp:revision>2</cp:revision>
  <dcterms:created xsi:type="dcterms:W3CDTF">2026-10-07T04:52:00Z</dcterms:created>
  <dcterms:modified xsi:type="dcterms:W3CDTF">2026-10-07T04:52:00Z</dcterms:modified>
  <cp:category/>
</cp:coreProperties>
</file>