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6F3CC3"/>
          <w:sz w:val="40"/>
        </w:rPr>
        <w:t>KONEA</w:t>
      </w:r>
    </w:p>
    <w:p>
      <w:pPr>
        <w:spacing w:before="1600"/>
        <w:jc w:val="center"/>
      </w:pPr>
      <w:r>
        <w:rPr>
          <w:rFonts w:ascii="Aptos Display" w:hAnsi="Aptos Display"/>
          <w:b/>
          <w:color w:val="382052"/>
          <w:sz w:val="72"/>
        </w:rPr>
        <w:t>KONEA Focus</w:t>
      </w:r>
    </w:p>
    <w:p>
      <w:pPr>
        <w:jc w:val="center"/>
      </w:pPr>
      <w:r>
        <w:rPr>
          <w:rFonts w:ascii="Aptos Display" w:hAnsi="Aptos Display"/>
          <w:b/>
          <w:color w:val="6F3CC3"/>
          <w:sz w:val="46"/>
        </w:rPr>
        <w:t>Evidencia de sistema · Aplicación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2EB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382052"/>
                <w:sz w:val="22"/>
              </w:rPr>
              <w:t>FASE 2 · PROYECTO APT · CAPSTONE 2026</w:t>
            </w:r>
          </w:p>
        </w:tc>
      </w:tr>
    </w:tbl>
    <w:p>
      <w:r>
        <w:br/>
      </w:r>
    </w:p>
    <w:p>
      <w:pPr>
        <w:jc w:val="center"/>
      </w:pPr>
      <w:r>
        <w:rPr>
          <w:b/>
          <w:sz w:val="24"/>
        </w:rPr>
        <w:t>Oscar Callejas · Hilary Torres · Danae Muñoz</w:t>
      </w:r>
    </w:p>
    <w:p>
      <w:pPr>
        <w:jc w:val="center"/>
      </w:pPr>
      <w:r>
        <w:t>5 de octubre de 2026</w:t>
      </w:r>
    </w:p>
    <w:p>
      <w:r>
        <w:br/>
        <w:br/>
      </w:r>
    </w:p>
    <w:p>
      <w:pPr>
        <w:jc w:val="center"/>
      </w:pPr>
      <w:r>
        <w:rPr>
          <w:color w:val="645D70"/>
          <w:sz w:val="18"/>
        </w:rPr>
        <w:t>Documento Word editable · Evidencia generada desde el entorno local</w:t>
      </w:r>
    </w:p>
    <w:p>
      <w:r>
        <w:br w:type="page"/>
      </w:r>
    </w:p>
    <w:p>
      <w:pPr>
        <w:pStyle w:val="Heading1"/>
      </w:pPr>
      <w:r>
        <w:t>1. Identificación y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592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200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Proyecto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KONEA Focus / Konea Rebirth</w:t>
            </w:r>
          </w:p>
        </w:tc>
      </w:tr>
      <w:tr>
        <w:tc>
          <w:tcPr>
            <w:tcW w:type="dxa" w:w="2592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Equipo</w:t>
            </w:r>
          </w:p>
        </w:tc>
        <w:tc>
          <w:tcPr>
            <w:tcW w:type="dxa" w:w="7200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Oscar Callejas · Hilary Torres · Danae Muñoz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Asignatura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Capstone</w:t>
            </w:r>
          </w:p>
        </w:tc>
      </w:tr>
      <w:tr>
        <w:tc>
          <w:tcPr>
            <w:tcW w:type="dxa" w:w="2592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Fecha de verificación</w:t>
            </w:r>
          </w:p>
        </w:tc>
        <w:tc>
          <w:tcPr>
            <w:tcW w:type="dxa" w:w="7200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5 de octubre de 2026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Entorno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Desarrollo local en Windows, servicios en localhost</w:t>
            </w:r>
          </w:p>
        </w:tc>
      </w:tr>
      <w:tr>
        <w:tc>
          <w:tcPr>
            <w:tcW w:type="dxa" w:w="2592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Referencia Git</w:t>
            </w:r>
          </w:p>
        </w:tc>
        <w:tc>
          <w:tcPr>
            <w:tcW w:type="dxa" w:w="7200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Rama main · commit base 4ec3f34e48ed71d6a95be86b79a88ab9b0899d65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Clasificación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Evidencia grupal de sistema — aplicación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2EB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/>
            <w:r>
              <w:rPr>
                <w:b/>
                <w:color w:val="382052"/>
                <w:sz w:val="20"/>
              </w:rPr>
              <w:t>Alcance de este documento</w:t>
              <w:br/>
            </w:r>
            <w:r>
              <w:rPr>
                <w:color w:val="191123"/>
                <w:sz w:val="18"/>
              </w:rPr>
              <w:t>Este informe registra el estado observable del MVP en el entorno local. Las capturas no contienen API keys, contraseñas ni enlaces privados. Las acciones de dos usuarios y la aplicación de escritorio se dejan identificadas como validaciones manuales complementarias cuando no se comprobaron en esta ejecución.</w:t>
            </w:r>
          </w:p>
        </w:tc>
      </w:tr>
    </w:tbl>
    <w:p/>
    <w:p>
      <w:pPr>
        <w:pStyle w:val="Heading1"/>
      </w:pPr>
      <w:r>
        <w:t>2. Descripción del sistema</w:t>
      </w:r>
    </w:p>
    <w:p>
      <w:r>
        <w:t>KONEA Focus es una solución universitaria que integra comunidad, colaboración académica y hábitos de estudio. El sistema combina una aplicación web, una API REST, persistencia PostgreSQL y un cliente de escritorio Electron para FocusBuddy. Las acciones sensibles se validan en la API y los datos funcionales se almacenan en PostgreSQL.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00-arquitectura-integra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1. Arquitectura funcional de KONEA Focus.</w:t>
      </w:r>
    </w:p>
    <w:p>
      <w:pPr>
        <w:pStyle w:val="Heading1"/>
      </w:pPr>
      <w:r>
        <w:t>3. Entorno verificado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160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896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Tecnología / dirección</w:t>
            </w:r>
          </w:p>
        </w:tc>
        <w:tc>
          <w:tcPr>
            <w:tcW w:type="dxa" w:w="2880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Aplicación web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React 19 + TypeScript + Vite · http://localhost:5173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HTTP 200 y portal renderizado</w:t>
            </w:r>
          </w:p>
        </w:tc>
      </w:tr>
      <w:tr>
        <w:tc>
          <w:tcPr>
            <w:tcW w:type="dxa" w:w="2160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API</w:t>
            </w:r>
          </w:p>
        </w:tc>
        <w:tc>
          <w:tcPr>
            <w:tcW w:type="dxa" w:w="4896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Express 5 + TypeScript · http://localhost:3000/api/v1</w:t>
            </w:r>
          </w:p>
        </w:tc>
        <w:tc>
          <w:tcPr>
            <w:tcW w:type="dxa" w:w="2880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Health: status ok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Base de datos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PostgreSQL 17 en Docker Compose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Contenedor healthy</w:t>
            </w:r>
          </w:p>
        </w:tc>
      </w:tr>
      <w:tr>
        <w:tc>
          <w:tcPr>
            <w:tcW w:type="dxa" w:w="2160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Migraciones</w:t>
            </w:r>
          </w:p>
        </w:tc>
        <w:tc>
          <w:tcPr>
            <w:tcW w:type="dxa" w:w="4896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Drizzle ORM · 0000 a 0012</w:t>
            </w:r>
          </w:p>
        </w:tc>
        <w:tc>
          <w:tcPr>
            <w:tcW w:type="dxa" w:w="2880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Aplicadas correctamente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Cuenta de evidencia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admin / rol Administrador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Sesión local iniciada</w:t>
            </w:r>
          </w:p>
        </w:tc>
      </w:tr>
      <w:tr>
        <w:tc>
          <w:tcPr>
            <w:tcW w:type="dxa" w:w="2160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FocusBuddy</w:t>
            </w:r>
          </w:p>
        </w:tc>
        <w:tc>
          <w:tcPr>
            <w:tcW w:type="dxa" w:w="4896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Módulo web y cliente Electron</w:t>
            </w:r>
          </w:p>
        </w:tc>
        <w:tc>
          <w:tcPr>
            <w:tcW w:type="dxa" w:w="2880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Interfaz web verificada; escritorio pendiente de captura manual</w:t>
            </w:r>
          </w:p>
        </w:tc>
      </w:tr>
    </w:tbl>
    <w:p/>
    <w:p>
      <w:pPr>
        <w:pStyle w:val="Heading1"/>
      </w:pPr>
      <w:r>
        <w:t>4. Matriz de evidencias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008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04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5328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Criterio evidenciado</w:t>
            </w:r>
          </w:p>
        </w:tc>
        <w:tc>
          <w:tcPr>
            <w:tcW w:type="dxa" w:w="1440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APP-01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Portada y conectividad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La web reconoce la API local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Verificado</w:t>
            </w:r>
          </w:p>
        </w:tc>
      </w:tr>
      <w:tr>
        <w:tc>
          <w:tcPr>
            <w:tcW w:type="dxa" w:w="100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APP-02</w:t>
            </w:r>
          </w:p>
        </w:tc>
        <w:tc>
          <w:tcPr>
            <w:tcW w:type="dxa" w:w="2304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Autenticación</w:t>
            </w:r>
          </w:p>
        </w:tc>
        <w:tc>
          <w:tcPr>
            <w:tcW w:type="dxa" w:w="532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Formulario de acceso y sesión por cookie</w:t>
            </w:r>
          </w:p>
        </w:tc>
        <w:tc>
          <w:tcPr>
            <w:tcW w:type="dxa" w:w="1440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Verificado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APP-03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Comunidad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Feed, anuncios, publicaciones e interacción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Verificado</w:t>
            </w:r>
          </w:p>
        </w:tc>
      </w:tr>
      <w:tr>
        <w:tc>
          <w:tcPr>
            <w:tcW w:type="dxa" w:w="100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APP-04</w:t>
            </w:r>
          </w:p>
        </w:tc>
        <w:tc>
          <w:tcPr>
            <w:tcW w:type="dxa" w:w="2304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Gestión académica</w:t>
            </w:r>
          </w:p>
        </w:tc>
        <w:tc>
          <w:tcPr>
            <w:tcW w:type="dxa" w:w="532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Materias, tareas y calendario AVA</w:t>
            </w:r>
          </w:p>
        </w:tc>
        <w:tc>
          <w:tcPr>
            <w:tcW w:type="dxa" w:w="1440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Verificado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APP-05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FocusBuddy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Métodos de estudio y creación de sesión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Verificado</w:t>
            </w:r>
          </w:p>
        </w:tc>
      </w:tr>
      <w:tr>
        <w:tc>
          <w:tcPr>
            <w:tcW w:type="dxa" w:w="100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APP-06</w:t>
            </w:r>
          </w:p>
        </w:tc>
        <w:tc>
          <w:tcPr>
            <w:tcW w:type="dxa" w:w="2304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DUCO</w:t>
            </w:r>
          </w:p>
        </w:tc>
        <w:tc>
          <w:tcPr>
            <w:tcW w:type="dxa" w:w="532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Asistente, privacidad y borradores confirmables</w:t>
            </w:r>
          </w:p>
        </w:tc>
        <w:tc>
          <w:tcPr>
            <w:tcW w:type="dxa" w:w="1440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Verificado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APP-07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Perfil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Identidad, datos académicos y portafolio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Verificado</w:t>
            </w:r>
          </w:p>
        </w:tc>
      </w:tr>
      <w:tr>
        <w:tc>
          <w:tcPr>
            <w:tcW w:type="dxa" w:w="100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APP-08</w:t>
            </w:r>
          </w:p>
        </w:tc>
        <w:tc>
          <w:tcPr>
            <w:tcW w:type="dxa" w:w="2304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Conexiones</w:t>
            </w:r>
          </w:p>
        </w:tc>
        <w:tc>
          <w:tcPr>
            <w:tcW w:type="dxa" w:w="532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Diseño basado en consentimiento</w:t>
            </w:r>
          </w:p>
        </w:tc>
        <w:tc>
          <w:tcPr>
            <w:tcW w:type="dxa" w:w="1440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Verificado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APP-09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Chat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Mensajería, código temporal y grupos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Verificado</w:t>
            </w:r>
          </w:p>
        </w:tc>
      </w:tr>
      <w:tr>
        <w:tc>
          <w:tcPr>
            <w:tcW w:type="dxa" w:w="100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APP-10</w:t>
            </w:r>
          </w:p>
        </w:tc>
        <w:tc>
          <w:tcPr>
            <w:tcW w:type="dxa" w:w="2304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Moderación</w:t>
            </w:r>
          </w:p>
        </w:tc>
        <w:tc>
          <w:tcPr>
            <w:tcW w:type="dxa" w:w="532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Roles, publicaciones, reportes y solicitudes</w:t>
            </w:r>
          </w:p>
        </w:tc>
        <w:tc>
          <w:tcPr>
            <w:tcW w:type="dxa" w:w="1440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Verificado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APP-11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Calidad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Lint, tipos, esquema, pruebas, build y formato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Verificado</w:t>
            </w:r>
          </w:p>
        </w:tc>
      </w:tr>
    </w:tbl>
    <w:p/>
    <w:p>
      <w:r>
        <w:br w:type="page"/>
      </w:r>
    </w:p>
    <w:p>
      <w:pPr>
        <w:pStyle w:val="Heading1"/>
      </w:pPr>
      <w:r>
        <w:t>5. Evidencias visuales</w:t>
      </w:r>
    </w:p>
    <w:p>
      <w:pPr>
        <w:pStyle w:val="Heading2"/>
      </w:pPr>
      <w:r>
        <w:t>APP-01 · Portada y API conectada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01-portada-api-conecta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APP-01. Portada y API conectada — captura real del entorno local, 5 de octubre de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04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488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Registro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Qué demuestra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Disponibilidad de la interfaz pública y reconocimiento del servicio API.</w:t>
            </w:r>
          </w:p>
        </w:tc>
      </w:tr>
      <w:tr>
        <w:tc>
          <w:tcPr>
            <w:tcW w:type="dxa" w:w="2304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Resultado observado</w:t>
            </w:r>
          </w:p>
        </w:tc>
        <w:tc>
          <w:tcPr>
            <w:tcW w:type="dxa" w:w="748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La portada cargó correctamente y mostró el indicador verde «API conectada».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Trazabilidad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App.tsx · endpoint /api/v1/health</w:t>
            </w:r>
          </w:p>
        </w:tc>
      </w:tr>
      <w:tr>
        <w:tc>
          <w:tcPr>
            <w:tcW w:type="dxa" w:w="2304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Estado</w:t>
            </w:r>
          </w:p>
        </w:tc>
        <w:tc>
          <w:tcPr>
            <w:tcW w:type="dxa" w:w="748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VERIFICADO mediante captura automatizada</w:t>
            </w:r>
          </w:p>
        </w:tc>
      </w:tr>
    </w:tbl>
    <w:p/>
    <w:p>
      <w:pPr>
        <w:pStyle w:val="Heading2"/>
      </w:pPr>
      <w:r>
        <w:t>APP-02 · Inicio de sesión seguro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02-inicio-sesion-segu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APP-02. Inicio de sesión seguro — captura real del entorno local, 5 de octubre de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04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488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Registro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Qué demuestra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Formulario de autenticación con campos de identificador y contraseña, sin exponer credenciales en la captura.</w:t>
            </w:r>
          </w:p>
        </w:tc>
      </w:tr>
      <w:tr>
        <w:tc>
          <w:tcPr>
            <w:tcW w:type="dxa" w:w="2304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Resultado observado</w:t>
            </w:r>
          </w:p>
        </w:tc>
        <w:tc>
          <w:tcPr>
            <w:tcW w:type="dxa" w:w="748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La interfaz presentó el acceso y comunicó el uso de una cookie segura para conservar la sesión.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Trazabilidad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AuthDialog.tsx · auth.test.ts</w:t>
            </w:r>
          </w:p>
        </w:tc>
      </w:tr>
      <w:tr>
        <w:tc>
          <w:tcPr>
            <w:tcW w:type="dxa" w:w="2304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Estado</w:t>
            </w:r>
          </w:p>
        </w:tc>
        <w:tc>
          <w:tcPr>
            <w:tcW w:type="dxa" w:w="748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VERIFICADO mediante captura automatizada</w:t>
            </w:r>
          </w:p>
        </w:tc>
      </w:tr>
    </w:tbl>
    <w:p/>
    <w:p>
      <w:pPr>
        <w:pStyle w:val="Heading2"/>
      </w:pPr>
      <w:r>
        <w:t>APP-03 · Portal y comunidad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03-portal-y-comun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APP-03. Portal y comunidad — captura real del entorno local, 5 de octubre de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04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488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Registro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Qué demuestra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Feed autenticado, separación entre anuncios y comunidad, creación de publicaciones y contenido de demostración.</w:t>
            </w:r>
          </w:p>
        </w:tc>
      </w:tr>
      <w:tr>
        <w:tc>
          <w:tcPr>
            <w:tcW w:type="dxa" w:w="2304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Resultado observado</w:t>
            </w:r>
          </w:p>
        </w:tc>
        <w:tc>
          <w:tcPr>
            <w:tcW w:type="dxa" w:w="748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La cuenta administrativa ingresó al portal y el feed mostró publicaciones aprobadas e imágenes servidas por la API.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Trazabilidad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Portal.tsx · posts.ts · portal.test.ts</w:t>
            </w:r>
          </w:p>
        </w:tc>
      </w:tr>
      <w:tr>
        <w:tc>
          <w:tcPr>
            <w:tcW w:type="dxa" w:w="2304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Estado</w:t>
            </w:r>
          </w:p>
        </w:tc>
        <w:tc>
          <w:tcPr>
            <w:tcW w:type="dxa" w:w="748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VERIFICADO mediante captura automatizada</w:t>
            </w:r>
          </w:p>
        </w:tc>
      </w:tr>
    </w:tbl>
    <w:p/>
    <w:p>
      <w:pPr>
        <w:pStyle w:val="Heading2"/>
      </w:pPr>
      <w:r>
        <w:t>APP-04 · Gestión académica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04-gestion-academic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APP-04. Gestión académica — captura real del entorno local, 5 de octubre de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04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488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Registro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Qué demuestra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Panel de materias, tareas, estados y conexión con el calendario AVA.</w:t>
            </w:r>
          </w:p>
        </w:tc>
      </w:tr>
      <w:tr>
        <w:tc>
          <w:tcPr>
            <w:tcW w:type="dxa" w:w="2304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Resultado observado</w:t>
            </w:r>
          </w:p>
        </w:tc>
        <w:tc>
          <w:tcPr>
            <w:tcW w:type="dxa" w:w="748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La vista cargó sus indicadores y ofreció acciones para añadir materias y pendientes.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Trazabilidad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Academic.tsx · academic.test.ts</w:t>
            </w:r>
          </w:p>
        </w:tc>
      </w:tr>
      <w:tr>
        <w:tc>
          <w:tcPr>
            <w:tcW w:type="dxa" w:w="2304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Estado</w:t>
            </w:r>
          </w:p>
        </w:tc>
        <w:tc>
          <w:tcPr>
            <w:tcW w:type="dxa" w:w="748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VERIFICADO mediante captura automatizada</w:t>
            </w:r>
          </w:p>
        </w:tc>
      </w:tr>
    </w:tbl>
    <w:p/>
    <w:p>
      <w:pPr>
        <w:pStyle w:val="Heading2"/>
      </w:pPr>
      <w:r>
        <w:t>APP-05 · FocusBuddy y métodos de estudio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05-focusbuddy-sesiones-estud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APP-05. FocusBuddy y métodos de estudio — captura real del entorno local, 5 de octubre de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04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488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Registro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Qué demuestra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Configuración de sesiones Pomodoro, extendida, profunda, Flowtime y personalizada.</w:t>
            </w:r>
          </w:p>
        </w:tc>
      </w:tr>
      <w:tr>
        <w:tc>
          <w:tcPr>
            <w:tcW w:type="dxa" w:w="2304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Resultado observado</w:t>
            </w:r>
          </w:p>
        </w:tc>
        <w:tc>
          <w:tcPr>
            <w:tcW w:type="dxa" w:w="748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La vista presentó métodos, selección opcional de materia/tarea y control para comenzar una sesión.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Trazabilidad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FocusBuddy.tsx · study.test.ts · cliente Electron</w:t>
            </w:r>
          </w:p>
        </w:tc>
      </w:tr>
      <w:tr>
        <w:tc>
          <w:tcPr>
            <w:tcW w:type="dxa" w:w="2304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Estado</w:t>
            </w:r>
          </w:p>
        </w:tc>
        <w:tc>
          <w:tcPr>
            <w:tcW w:type="dxa" w:w="748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VERIFICADO mediante captura automatizada</w:t>
            </w:r>
          </w:p>
        </w:tc>
      </w:tr>
    </w:tbl>
    <w:p/>
    <w:p>
      <w:pPr>
        <w:pStyle w:val="Heading2"/>
      </w:pPr>
      <w:r>
        <w:t>APP-06 · Asistente académico DUCO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06-duco-asistente-academi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APP-06. Asistente académico DUCO — captura real del entorno local, 5 de octubre de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04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488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Registro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Qué demuestra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Asistente académico con aviso de privacidad, acceso a pendientes y solicitudes confirmables.</w:t>
            </w:r>
          </w:p>
        </w:tc>
      </w:tr>
      <w:tr>
        <w:tc>
          <w:tcPr>
            <w:tcW w:type="dxa" w:w="2304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Resultado observado</w:t>
            </w:r>
          </w:p>
        </w:tc>
        <w:tc>
          <w:tcPr>
            <w:tcW w:type="dxa" w:w="748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DUCO quedó disponible con proveedor OpenAI identificado; la interfaz informó que ninguna gestión se envía sin confirmación.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Trazabilidad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Duco.tsx · duco-ai-service.test.ts</w:t>
            </w:r>
          </w:p>
        </w:tc>
      </w:tr>
      <w:tr>
        <w:tc>
          <w:tcPr>
            <w:tcW w:type="dxa" w:w="2304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Estado</w:t>
            </w:r>
          </w:p>
        </w:tc>
        <w:tc>
          <w:tcPr>
            <w:tcW w:type="dxa" w:w="748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VERIFICADO mediante captura automatizada</w:t>
            </w:r>
          </w:p>
        </w:tc>
      </w:tr>
    </w:tbl>
    <w:p/>
    <w:p>
      <w:pPr>
        <w:pStyle w:val="Heading2"/>
      </w:pPr>
      <w:r>
        <w:t>APP-07 · Perfil y portafolio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07-perfil-y-portafol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APP-07. Perfil y portafolio — captura real del entorno local, 5 de octubre de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04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488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Registro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Qué demuestra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Perfil editable, datos de cuenta, institución, campus, carrera y trayectoria.</w:t>
            </w:r>
          </w:p>
        </w:tc>
      </w:tr>
      <w:tr>
        <w:tc>
          <w:tcPr>
            <w:tcW w:type="dxa" w:w="2304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Resultado observado</w:t>
            </w:r>
          </w:p>
        </w:tc>
        <w:tc>
          <w:tcPr>
            <w:tcW w:type="dxa" w:w="748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La vista de identidad y portafolio se cargó para la cuenta administrativa con controles de edición.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Trazabilidad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Portal.tsx · profile.ts · users.test.ts</w:t>
            </w:r>
          </w:p>
        </w:tc>
      </w:tr>
      <w:tr>
        <w:tc>
          <w:tcPr>
            <w:tcW w:type="dxa" w:w="2304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Estado</w:t>
            </w:r>
          </w:p>
        </w:tc>
        <w:tc>
          <w:tcPr>
            <w:tcW w:type="dxa" w:w="748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VERIFICADO mediante captura automatizada</w:t>
            </w:r>
          </w:p>
        </w:tc>
      </w:tr>
    </w:tbl>
    <w:p/>
    <w:p>
      <w:pPr>
        <w:pStyle w:val="Heading2"/>
      </w:pPr>
      <w:r>
        <w:t>APP-08 · Conexiones consentidas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08-conexiones-consentid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APP-08. Conexiones consentidas — captura real del entorno local, 5 de octubre de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04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488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Registro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Qué demuestra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Espacio que limita la comunicación a conexiones aceptadas y códigos temporales.</w:t>
            </w:r>
          </w:p>
        </w:tc>
      </w:tr>
      <w:tr>
        <w:tc>
          <w:tcPr>
            <w:tcW w:type="dxa" w:w="2304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Resultado observado</w:t>
            </w:r>
          </w:p>
        </w:tc>
        <w:tc>
          <w:tcPr>
            <w:tcW w:type="dxa" w:w="748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La interfaz explicó el consentimiento mutuo y mostró la búsqueda restringida a conexiones existentes.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Trazabilidad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Network.tsx · connection_intents · qr_codes</w:t>
            </w:r>
          </w:p>
        </w:tc>
      </w:tr>
      <w:tr>
        <w:tc>
          <w:tcPr>
            <w:tcW w:type="dxa" w:w="2304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Estado</w:t>
            </w:r>
          </w:p>
        </w:tc>
        <w:tc>
          <w:tcPr>
            <w:tcW w:type="dxa" w:w="748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VERIFICADO mediante captura automatizada</w:t>
            </w:r>
          </w:p>
        </w:tc>
      </w:tr>
    </w:tbl>
    <w:p/>
    <w:p>
      <w:pPr>
        <w:pStyle w:val="Heading2"/>
      </w:pPr>
      <w:r>
        <w:t>APP-09 · Chat y colaboración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09-chat-y-comunicac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APP-09. Chat y colaboración — captura real del entorno local, 5 de octubre de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04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488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Registro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Qué demuestra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Mensajería privada o grupal, creación de conversaciones y acceso mediante código.</w:t>
            </w:r>
          </w:p>
        </w:tc>
      </w:tr>
      <w:tr>
        <w:tc>
          <w:tcPr>
            <w:tcW w:type="dxa" w:w="2304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Resultado observado</w:t>
            </w:r>
          </w:p>
        </w:tc>
        <w:tc>
          <w:tcPr>
            <w:tcW w:type="dxa" w:w="748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El módulo cargó sin errores y ofreció la creación de una conversación o el canje de un código temporal.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Trazabilidad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Chat.tsx · chats.test.ts</w:t>
            </w:r>
          </w:p>
        </w:tc>
      </w:tr>
      <w:tr>
        <w:tc>
          <w:tcPr>
            <w:tcW w:type="dxa" w:w="2304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Estado</w:t>
            </w:r>
          </w:p>
        </w:tc>
        <w:tc>
          <w:tcPr>
            <w:tcW w:type="dxa" w:w="748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VERIFICADO mediante captura automatizada</w:t>
            </w:r>
          </w:p>
        </w:tc>
      </w:tr>
    </w:tbl>
    <w:p/>
    <w:p>
      <w:pPr>
        <w:pStyle w:val="Heading2"/>
      </w:pPr>
      <w:r>
        <w:t>APP-10 · Centro de moderación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10-panel-moderac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APP-10. Centro de moderación — captura real del entorno local, 5 de octubre de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04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488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Registro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Qué demuestra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Cola para publicaciones, reportes y solicitudes con acceso restringido por rol.</w:t>
            </w:r>
          </w:p>
        </w:tc>
      </w:tr>
      <w:tr>
        <w:tc>
          <w:tcPr>
            <w:tcW w:type="dxa" w:w="2304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Resultado observado</w:t>
            </w:r>
          </w:p>
        </w:tc>
        <w:tc>
          <w:tcPr>
            <w:tcW w:type="dxa" w:w="748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El rol administrador accedió al centro y visualizó 23 publicaciones aprobadas y 4 solicitudes abiertas.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Trazabilidad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Portal.tsx · reports.ts · support_requests</w:t>
            </w:r>
          </w:p>
        </w:tc>
      </w:tr>
      <w:tr>
        <w:tc>
          <w:tcPr>
            <w:tcW w:type="dxa" w:w="2304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Estado</w:t>
            </w:r>
          </w:p>
        </w:tc>
        <w:tc>
          <w:tcPr>
            <w:tcW w:type="dxa" w:w="7488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VERIFICADO mediante captura automatizada</w:t>
            </w:r>
          </w:p>
        </w:tc>
      </w:tr>
    </w:tbl>
    <w:p/>
    <w:p>
      <w:pPr>
        <w:pStyle w:val="Heading2"/>
      </w:pPr>
      <w:r>
        <w:t>APP-11 · Validación de calidad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8117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11-validacion-calida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1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APP-11. Resumen de la ejecución real de npm run check, 5 de octubre de 2026.</w:t>
      </w:r>
    </w:p>
    <w:p>
      <w:r>
        <w:t>La validación integrada finalizó con código 0. Se ejecutaron lint, comprobación de tipos, consistencia del esquema Drizzle, pruebas automatizadas, compilación de los workspaces y revisión de formato. El resultado sumó 148 pruebas aprobadas: API 99, aplicación web 21, FocusBuddy 21 y conector AVA 7.</w:t>
      </w:r>
    </w:p>
    <w:p>
      <w:pPr>
        <w:pStyle w:val="Heading1"/>
      </w:pPr>
      <w:r>
        <w:t>6. Validaciones manuales complementarias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FF3CD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/>
            <w:r>
              <w:rPr>
                <w:b/>
                <w:color w:val="9A6400"/>
                <w:sz w:val="20"/>
              </w:rPr>
              <w:t>Importante antes de entregar</w:t>
              <w:br/>
            </w:r>
            <w:r>
              <w:rPr>
                <w:color w:val="191123"/>
                <w:sz w:val="18"/>
              </w:rPr>
              <w:t>Las siguientes acciones requieren interacción humana o dos sesiones simultáneas. El documento no las presenta como ejecutadas; se dejan como lista editable para reforzar la entrega si el equipo desea añadir capturas propias.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296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ID sugerido</w:t>
            </w:r>
          </w:p>
        </w:tc>
        <w:tc>
          <w:tcPr>
            <w:tcW w:type="dxa" w:w="4320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Prueba manual</w:t>
            </w:r>
          </w:p>
        </w:tc>
        <w:tc>
          <w:tcPr>
            <w:tcW w:type="dxa" w:w="4320"/>
            <w:shd w:fill="6F3CC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Captura recomendada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MAN-01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Editar un perfil y recargar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Formulario guardado y perfil posterior a la recarga</w:t>
            </w:r>
          </w:p>
        </w:tc>
      </w:tr>
      <w:tr>
        <w:tc>
          <w:tcPr>
            <w:tcW w:type="dxa" w:w="1296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MAN-02</w:t>
            </w:r>
          </w:p>
        </w:tc>
        <w:tc>
          <w:tcPr>
            <w:tcW w:type="dxa" w:w="4320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Conectar dos estudiantes</w:t>
            </w:r>
          </w:p>
        </w:tc>
        <w:tc>
          <w:tcPr>
            <w:tcW w:type="dxa" w:w="4320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Dos sesiones o código QR/código temporal consumido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MAN-03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Enviar y leer un mensaje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Estados enviado, entregado y leído</w:t>
            </w:r>
          </w:p>
        </w:tc>
      </w:tr>
      <w:tr>
        <w:tc>
          <w:tcPr>
            <w:tcW w:type="dxa" w:w="1296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MAN-04</w:t>
            </w:r>
          </w:p>
        </w:tc>
        <w:tc>
          <w:tcPr>
            <w:tcW w:type="dxa" w:w="4320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Confirmar un borrador de DUCO</w:t>
            </w:r>
          </w:p>
        </w:tc>
        <w:tc>
          <w:tcPr>
            <w:tcW w:type="dxa" w:w="4320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Borrador editable y tarea resultante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MAN-05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Completar una sesión FocusBuddy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Temporizador activo y panel actualizado</w:t>
            </w:r>
          </w:p>
        </w:tc>
      </w:tr>
      <w:tr>
        <w:tc>
          <w:tcPr>
            <w:tcW w:type="dxa" w:w="1296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MAN-06</w:t>
            </w:r>
          </w:p>
        </w:tc>
        <w:tc>
          <w:tcPr>
            <w:tcW w:type="dxa" w:w="4320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Ejecutar cliente Electron</w:t>
            </w:r>
          </w:p>
        </w:tc>
        <w:tc>
          <w:tcPr>
            <w:tcW w:type="dxa" w:w="4320"/>
            <w:shd w:fill="F8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Ventana instalada y compañero flotante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MAN-07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Sincronizar AVA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191123"/>
                <w:sz w:val="16"/>
              </w:rPr>
              <w:t>Vista previa sin mostrar el enlace ICS privado</w:t>
            </w:r>
          </w:p>
        </w:tc>
      </w:tr>
    </w:tbl>
    <w:p/>
    <w:p>
      <w:pPr>
        <w:pStyle w:val="Heading1"/>
      </w:pPr>
      <w:r>
        <w:t>7. Límites y resguardos</w:t>
      </w:r>
    </w:p>
    <w:p>
      <w:pPr>
        <w:pStyle w:val="ListBullet"/>
        <w:spacing w:after="60"/>
      </w:pPr>
      <w:r>
        <w:t>La evidencia corresponde a un entorno local de desarrollo; no se presenta como despliegue productivo.</w:t>
      </w:r>
    </w:p>
    <w:p>
      <w:pPr>
        <w:pStyle w:val="ListBullet"/>
        <w:spacing w:after="60"/>
      </w:pPr>
      <w:r>
        <w:t>AVA utiliza un calendario aportado por la persona o un conector experimental; no constituye una integración institucional oficial.</w:t>
      </w:r>
    </w:p>
    <w:p>
      <w:pPr>
        <w:pStyle w:val="ListBullet"/>
        <w:spacing w:after="60"/>
      </w:pPr>
      <w:r>
        <w:t>Chat y notificaciones utilizan consulta periódica; no se afirma el uso de WebSocket.</w:t>
      </w:r>
    </w:p>
    <w:p>
      <w:pPr>
        <w:pStyle w:val="ListBullet"/>
        <w:spacing w:after="60"/>
      </w:pPr>
      <w:r>
        <w:t>El avatar de FocusBuddy es provisional y el cliente de escritorio depende de la web y la API.</w:t>
      </w:r>
    </w:p>
    <w:p>
      <w:pPr>
        <w:pStyle w:val="ListBullet"/>
        <w:spacing w:after="60"/>
      </w:pPr>
      <w:r>
        <w:t>No se incluyeron API keys, tokens, contraseñas, enlaces ICS privados ni datos personales en las capturas.</w:t>
      </w:r>
    </w:p>
    <w:p>
      <w:pPr>
        <w:pStyle w:val="Heading1"/>
      </w:pPr>
      <w:r>
        <w:t>8. Conclusión</w:t>
      </w:r>
    </w:p>
    <w:p>
      <w:r>
        <w:t>Las evidencias confirman que los componentes principales del MVP se integran y renderizan correctamente en el entorno local. KONEA Focus dispone de una base funcional para comunidad, organización académica, acompañamiento mediante DUCO, sesiones de estudio y moderación. Las pruebas automatizadas respaldan la estabilidad técnica, mientras que las validaciones manuales propuestas permiten completar una demostración de extremo a extremo ante el docente.</w:t>
      </w:r>
    </w:p>
    <w:sectPr w:rsidR="00FC693F" w:rsidRPr="0006063C" w:rsidSect="00034616">
      <w:footerReference w:type="default" r:id="rId9"/>
      <w:pgSz w:w="12240" w:h="15840"/>
      <w:pgMar w:top="1077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5D70"/>
        <w:sz w:val="16"/>
      </w:rPr>
      <w:t xml:space="preserve">KONEA Focus · Evidencia de sistema · 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911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82052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F3CC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8205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382052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Aptos" w:hAnsi="Aptos"/>
      <w:b/>
      <w:bCs/>
      <w:i/>
      <w:color w:val="645D7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