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 </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Oscar Callejas </w:t>
            </w:r>
          </w:p>
          <w:p w:rsidR="00000000" w:rsidDel="00000000" w:rsidP="00000000" w:rsidRDefault="00000000" w:rsidRPr="00000000" w14:paraId="0000000E">
            <w:pPr>
              <w:rPr>
                <w:b w:val="1"/>
                <w:bCs w:val="1"/>
              </w:rPr>
            </w:pPr>
            <w:r w:rsidDel="00000000" w:rsidR="00000000" w:rsidRPr="00000000">
              <w:rPr>
                <w:b w:val="1"/>
                <w:bCs w:val="1"/>
                <w:rtl w:val="0"/>
              </w:rPr>
              <w:t xml:space="preserve">Hilary Torres </w:t>
            </w:r>
          </w:p>
          <w:p w:rsidR="00000000" w:rsidDel="00000000" w:rsidP="00000000" w:rsidRDefault="00000000" w:rsidRPr="00000000" w14:paraId="0000000F">
            <w:pPr>
              <w:rPr>
                <w:b w:val="1"/>
                <w:bCs w:val="1"/>
              </w:rPr>
            </w:pPr>
            <w:r w:rsidDel="00000000" w:rsidR="00000000" w:rsidRPr="00000000">
              <w:rPr>
                <w:b w:val="1"/>
                <w:bCs w:val="1"/>
                <w:rtl w:val="0"/>
              </w:rPr>
              <w:t xml:space="preserve">Danae Muñoz </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21.528.430-1</w:t>
            </w:r>
          </w:p>
          <w:p w:rsidR="00000000" w:rsidDel="00000000" w:rsidP="00000000" w:rsidRDefault="00000000" w:rsidRPr="00000000" w14:paraId="00000012">
            <w:pPr>
              <w:rPr>
                <w:b w:val="1"/>
                <w:bCs w:val="1"/>
              </w:rPr>
            </w:pPr>
            <w:r w:rsidDel="00000000" w:rsidR="00000000" w:rsidRPr="00000000">
              <w:rPr>
                <w:b w:val="1"/>
                <w:bCs w:val="1"/>
                <w:rtl w:val="0"/>
              </w:rPr>
              <w:t xml:space="preserve">26.001.954-6</w:t>
            </w:r>
          </w:p>
          <w:p w:rsidR="00000000" w:rsidDel="00000000" w:rsidP="00000000" w:rsidRDefault="00000000" w:rsidRPr="00000000" w14:paraId="00000013">
            <w:pPr>
              <w:rPr>
                <w:b w:val="1"/>
                <w:bCs w:val="1"/>
              </w:rPr>
            </w:pPr>
            <w:r w:rsidDel="00000000" w:rsidR="00000000" w:rsidRPr="00000000">
              <w:rPr>
                <w:b w:val="1"/>
                <w:bCs w:val="1"/>
                <w:rtl w:val="0"/>
              </w:rPr>
              <w:t xml:space="preserve">21.462.321-8</w:t>
            </w:r>
          </w:p>
        </w:tc>
      </w:tr>
      <w:tr>
        <w:trPr>
          <w:cantSplit w:val="0"/>
          <w:trHeight w:val="434.8152669270833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Ingeniería en informática </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San Joaquín </w:t>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color w:val="1f3864"/>
              </w:rPr>
            </w:pPr>
            <w:r w:rsidDel="00000000" w:rsidR="00000000" w:rsidRPr="00000000">
              <w:rPr>
                <w:color w:val="1f3864"/>
                <w:rtl w:val="0"/>
              </w:rPr>
              <w:t xml:space="preserve">Nombre del proyecto</w:t>
            </w:r>
          </w:p>
        </w:tc>
        <w:tc>
          <w:tcPr>
            <w:vAlign w:val="center"/>
          </w:tcPr>
          <w:p w:rsidR="00000000" w:rsidDel="00000000" w:rsidP="00000000" w:rsidRDefault="00000000" w:rsidRPr="00000000" w14:paraId="0000001D">
            <w:pPr>
              <w:spacing w:after="60" w:before="0" w:lineRule="auto"/>
              <w:jc w:val="left"/>
              <w:rPr/>
            </w:pPr>
            <w:r w:rsidDel="00000000" w:rsidR="00000000" w:rsidRPr="00000000">
              <w:rPr>
                <w:i w:val="0"/>
                <w:iCs w:val="0"/>
                <w:color w:val="000000"/>
                <w:sz w:val="20"/>
                <w:szCs w:val="20"/>
                <w:rtl w:val="0"/>
              </w:rPr>
              <w:t xml:space="preserve">KONEA Focus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Área (s) de desempeño(s)</w:t>
            </w:r>
          </w:p>
        </w:tc>
        <w:tc>
          <w:tcPr>
            <w:vAlign w:val="center"/>
          </w:tcPr>
          <w:p w:rsidR="00000000" w:rsidDel="00000000" w:rsidP="00000000" w:rsidRDefault="00000000" w:rsidRPr="00000000" w14:paraId="0000001F">
            <w:pPr>
              <w:spacing w:after="60" w:before="0" w:lineRule="auto"/>
              <w:jc w:val="left"/>
              <w:rPr/>
            </w:pPr>
            <w:r w:rsidDel="00000000" w:rsidR="00000000" w:rsidRPr="00000000">
              <w:rPr>
                <w:i w:val="0"/>
                <w:iCs w:val="0"/>
                <w:color w:val="000000"/>
                <w:sz w:val="20"/>
                <w:szCs w:val="20"/>
                <w:rtl w:val="0"/>
              </w:rPr>
              <w:t xml:space="preserve">Desarrollo de software; arquitectura e integración de sistemas; bases de datos; aseguramiento de calidad y seguridad; 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Competencias </w:t>
            </w:r>
          </w:p>
          <w:p w:rsidR="00000000" w:rsidDel="00000000" w:rsidP="00000000" w:rsidRDefault="00000000" w:rsidRPr="00000000" w14:paraId="00000021">
            <w:pPr>
              <w:rPr>
                <w:color w:val="1f3864"/>
              </w:rPr>
            </w:pPr>
            <w:r w:rsidDel="00000000" w:rsidR="00000000" w:rsidRPr="00000000">
              <w:rPr>
                <w:rtl w:val="0"/>
              </w:rPr>
            </w:r>
          </w:p>
        </w:tc>
        <w:tc>
          <w:tcPr>
            <w:vAlign w:val="center"/>
          </w:tcPr>
          <w:p w:rsidR="00000000" w:rsidDel="00000000" w:rsidP="00000000" w:rsidRDefault="00000000" w:rsidRPr="00000000" w14:paraId="00000022">
            <w:pPr>
              <w:numPr>
                <w:ilvl w:val="0"/>
                <w:numId w:val="2"/>
              </w:numPr>
              <w:ind w:left="720" w:hanging="360"/>
              <w:rPr/>
            </w:pPr>
            <w:r w:rsidDel="00000000" w:rsidR="00000000" w:rsidRPr="00000000">
              <w:rPr>
                <w:rtl w:val="0"/>
              </w:rPr>
              <w:t xml:space="preserve">Administrar la configuración de ambientes, servicios de aplicaciones y bases de datos en un entorno empresarial simulado a fin de habilitar operatividad o asegurar la continuidad de los sistemas que apoyan los procesos de negocio de acuerdo con los estándares definidos para construir modelos de datos para soportar los requerimientos de la organización acuerdo a un diseño definido y escalable en el tiempo.</w:t>
            </w:r>
          </w:p>
          <w:p w:rsidR="00000000" w:rsidDel="00000000" w:rsidP="00000000" w:rsidRDefault="00000000" w:rsidRPr="00000000" w14:paraId="00000023">
            <w:pPr>
              <w:numPr>
                <w:ilvl w:val="0"/>
                <w:numId w:val="2"/>
              </w:numPr>
              <w:ind w:left="720" w:hanging="360"/>
              <w:rPr/>
            </w:pPr>
            <w:r w:rsidDel="00000000" w:rsidR="00000000" w:rsidRPr="00000000">
              <w:rPr>
                <w:rtl w:val="0"/>
              </w:rPr>
              <w:t xml:space="preserve">Programar consultas o rutinas para manipular información de una base de datos de acuerdo con los requerimientos de la organización.</w:t>
            </w:r>
          </w:p>
          <w:p w:rsidR="00000000" w:rsidDel="00000000" w:rsidP="00000000" w:rsidRDefault="00000000" w:rsidRPr="00000000" w14:paraId="00000024">
            <w:pPr>
              <w:numPr>
                <w:ilvl w:val="0"/>
                <w:numId w:val="2"/>
              </w:numPr>
              <w:ind w:left="720" w:hanging="360"/>
              <w:rPr/>
            </w:pPr>
            <w:r w:rsidDel="00000000" w:rsidR="00000000" w:rsidRPr="00000000">
              <w:rPr>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5">
            <w:pPr>
              <w:numPr>
                <w:ilvl w:val="0"/>
                <w:numId w:val="2"/>
              </w:numPr>
              <w:ind w:left="720" w:hanging="360"/>
              <w:rPr/>
            </w:pPr>
            <w:r w:rsidDel="00000000" w:rsidR="00000000" w:rsidRPr="00000000">
              <w:rPr>
                <w:rtl w:val="0"/>
              </w:rPr>
              <w:t xml:space="preserve">Realizar pruebas de calidad tanto de los productos como de los procesos utilizando buenas prácticas definidas por la industria.</w:t>
            </w:r>
          </w:p>
          <w:p w:rsidR="00000000" w:rsidDel="00000000" w:rsidP="00000000" w:rsidRDefault="00000000" w:rsidRPr="00000000" w14:paraId="00000026">
            <w:pPr>
              <w:numPr>
                <w:ilvl w:val="0"/>
                <w:numId w:val="2"/>
              </w:numPr>
              <w:ind w:left="720" w:hanging="360"/>
              <w:rPr/>
            </w:pPr>
            <w:r w:rsidDel="00000000" w:rsidR="00000000" w:rsidRPr="00000000">
              <w:rPr>
                <w:rtl w:val="0"/>
              </w:rPr>
              <w:t xml:space="preserve">Construir el modelo arquitectónico de una solución sistémica que soporte los procesos de negocio de acuerdo los requerimientos de la organización y estándares industria.</w:t>
            </w:r>
          </w:p>
          <w:p w:rsidR="00000000" w:rsidDel="00000000" w:rsidP="00000000" w:rsidRDefault="00000000" w:rsidRPr="00000000" w14:paraId="00000027">
            <w:pPr>
              <w:numPr>
                <w:ilvl w:val="0"/>
                <w:numId w:val="2"/>
              </w:numPr>
              <w:ind w:left="720" w:hanging="360"/>
              <w:rPr/>
            </w:pPr>
            <w:r w:rsidDel="00000000" w:rsidR="00000000" w:rsidRPr="00000000">
              <w:rPr>
                <w:rtl w:val="0"/>
              </w:rPr>
              <w:t xml:space="preserve">Implementar soluciones sistémicas integrales para automatizar u optimizar procesos de negocio de acuerdo con las necesidades de la organización.</w:t>
            </w:r>
          </w:p>
          <w:p w:rsidR="00000000" w:rsidDel="00000000" w:rsidP="00000000" w:rsidRDefault="00000000" w:rsidRPr="00000000" w14:paraId="00000028">
            <w:pPr>
              <w:numPr>
                <w:ilvl w:val="0"/>
                <w:numId w:val="2"/>
              </w:numPr>
              <w:ind w:left="720" w:hanging="360"/>
              <w:rPr/>
            </w:pPr>
            <w:r w:rsidDel="00000000" w:rsidR="00000000" w:rsidRPr="00000000">
              <w:rPr>
                <w:rtl w:val="0"/>
              </w:rPr>
              <w:t xml:space="preserve">Resolver las vulnerabilidades sistémicas para asegurar que el software construido cumple las normas de seguridad exigidas por la industria.</w:t>
            </w:r>
          </w:p>
          <w:p w:rsidR="00000000" w:rsidDel="00000000" w:rsidP="00000000" w:rsidRDefault="00000000" w:rsidRPr="00000000" w14:paraId="00000029">
            <w:pPr>
              <w:numPr>
                <w:ilvl w:val="0"/>
                <w:numId w:val="2"/>
              </w:numPr>
              <w:ind w:left="720" w:hanging="360"/>
              <w:rPr/>
            </w:pPr>
            <w:r w:rsidDel="00000000" w:rsidR="00000000" w:rsidRPr="00000000">
              <w:rPr>
                <w:rtl w:val="0"/>
              </w:rPr>
              <w:t xml:space="preserve">Gestionar proyectos informáticos, ofreciendo alternativas para la toma de decisiones de acuerdo con los requerimientos de la organización.</w:t>
            </w:r>
          </w:p>
          <w:p w:rsidR="00000000" w:rsidDel="00000000" w:rsidP="00000000" w:rsidRDefault="00000000" w:rsidRPr="00000000" w14:paraId="0000002A">
            <w:pPr>
              <w:numPr>
                <w:ilvl w:val="0"/>
                <w:numId w:val="2"/>
              </w:numPr>
              <w:ind w:left="720" w:hanging="360"/>
              <w:rPr/>
            </w:pPr>
            <w:r w:rsidDel="00000000" w:rsidR="00000000" w:rsidRPr="00000000">
              <w:rPr>
                <w:rtl w:val="0"/>
              </w:rPr>
              <w:t xml:space="preserve">dos por la industria.</w:t>
            </w:r>
          </w:p>
          <w:p w:rsidR="00000000" w:rsidDel="00000000" w:rsidP="00000000" w:rsidRDefault="00000000" w:rsidRPr="00000000" w14:paraId="0000002B">
            <w:pPr>
              <w:numPr>
                <w:ilvl w:val="0"/>
                <w:numId w:val="2"/>
              </w:numPr>
              <w:ind w:left="720" w:hanging="360"/>
              <w:rPr/>
            </w:pPr>
            <w:r w:rsidDel="00000000" w:rsidR="00000000" w:rsidRPr="00000000">
              <w:rPr>
                <w:rtl w:val="0"/>
              </w:rPr>
              <w:t xml:space="preserve">Ofrecer propuestas de solución informática analizando de forma integral los procesos de acuerdo con los requerimientos de la organización.</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i w:val="0"/>
                <w:iCs w:val="0"/>
                <w:smallCaps w:val="0"/>
                <w:strike w:val="0"/>
                <w:color w:val="000000"/>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Desarrollar proyectos de emprendimiento a partir de la identificación de oportunidades desde su especialidad, aplicando técnicas afines al objetivo, con foco en agregar valor al entorno.</w:t>
            </w:r>
          </w:p>
        </w:tc>
      </w:tr>
    </w:tbl>
    <w:p w:rsidR="00000000" w:rsidDel="00000000" w:rsidP="00000000" w:rsidRDefault="00000000" w:rsidRPr="00000000" w14:paraId="0000002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E">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F">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1">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3">
            <w:pPr>
              <w:jc w:val="both"/>
              <w:rPr>
                <w:rFonts w:ascii="Calibri" w:cs="Calibri" w:eastAsia="Calibri" w:hAnsi="Calibri"/>
              </w:rPr>
            </w:pPr>
            <w:r w:rsidDel="00000000" w:rsidR="00000000" w:rsidRPr="00000000">
              <w:rPr>
                <w:rFonts w:ascii="Calibri" w:cs="Calibri" w:eastAsia="Calibri" w:hAnsi="Calibri"/>
                <w:rtl w:val="0"/>
              </w:rPr>
              <w:t xml:space="preserve">Escogimos este tema porque representa una necesidad concreta y actual dentro del campo laboral de la Ingeniería en Informática: diseñar soluciones digitales que integren información, automaticen procesos y mejoren la experiencia de los usuarios mediante software útil, innovador y centrado en problemas reales. Además, este proyecto no solo aborda la organización académica, sino que agrega un valor diferenciador al incorporar un asistente de escritorio capaz de registrar sesiones de estudio, aplicar técnicas de concentración como Pomodoro y mostrar estadísticas sobre el tiempo dedicado a cada asignatura, combinando así planificación y seguimiento real del estudio.</w:t>
            </w:r>
          </w:p>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La problemática se sitúa principalmente en el contexto de estudiantes de educación superior, especialmente universitarios que deben organizar múltiples asignaturas, evaluaciones, proyectos y tiempos de estudio durante el semestre. Afecta directamente a estudiantes que requieren herramientas más integradas para gestionar su carga académica, pero también impacta indirectamente a instituciones educativas interesadas en modernizar la experiencia universitaria y fomentar una mejor autogestión del aprendizaje. En este sentido, el aporte de valor del proyecto consiste en ofrecer una solución tecnológica integral que permita centralizar asignaturas y actividades, registrar sesiones reales de estudio y entregar información útil para que el estudiante comprenda cómo distribuye su tiempo y tome mejores decisiones sobre su organización académica.</w:t>
            </w:r>
          </w:p>
        </w:tc>
      </w:tr>
      <w:tr>
        <w:trPr>
          <w:cantSplit w:val="0"/>
          <w:trHeight w:val="1037"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6">
            <w:pPr>
              <w:jc w:val="both"/>
              <w:rPr>
                <w:rFonts w:ascii="Calibri" w:cs="Calibri" w:eastAsia="Calibri" w:hAnsi="Calibri"/>
              </w:rPr>
            </w:pPr>
            <w:r w:rsidDel="00000000" w:rsidR="00000000" w:rsidRPr="00000000">
              <w:rPr>
                <w:rFonts w:ascii="Calibri" w:cs="Calibri" w:eastAsia="Calibri" w:hAnsi="Calibri"/>
                <w:rtl w:val="0"/>
              </w:rPr>
              <w:t xml:space="preserve">El objetivo del proyecto es </w:t>
            </w:r>
            <w:r w:rsidDel="00000000" w:rsidR="00000000" w:rsidRPr="00000000">
              <w:rPr>
                <w:rFonts w:ascii="Calibri" w:cs="Calibri" w:eastAsia="Calibri" w:hAnsi="Calibri"/>
                <w:b w:val="1"/>
                <w:bCs w:val="1"/>
                <w:rtl w:val="0"/>
              </w:rPr>
              <w:t xml:space="preserve">desarrollar una solución de software integrada para apoyar la planificación y el seguimiento del estudio universitario</w:t>
            </w:r>
            <w:r w:rsidDel="00000000" w:rsidR="00000000" w:rsidRPr="00000000">
              <w:rPr>
                <w:rFonts w:ascii="Calibri" w:cs="Calibri" w:eastAsia="Calibri" w:hAnsi="Calibri"/>
                <w:rtl w:val="0"/>
              </w:rPr>
              <w:t xml:space="preserve">, permitiendo que los estudiantes organicen sus asignaturas y actividades académicas en una plataforma web, y al mismo tiempo registren sus sesiones reales de estudio a través de un asistente de escritorio.</w:t>
            </w:r>
          </w:p>
          <w:p w:rsidR="00000000" w:rsidDel="00000000" w:rsidP="00000000" w:rsidRDefault="00000000" w:rsidRPr="00000000" w14:paraId="00000037">
            <w:pPr>
              <w:rPr/>
            </w:pPr>
            <w:r w:rsidDel="00000000" w:rsidR="00000000" w:rsidRPr="00000000">
              <w:rPr>
                <w:rFonts w:ascii="Calibri" w:cs="Calibri" w:eastAsia="Calibri" w:hAnsi="Calibri"/>
                <w:rtl w:val="0"/>
              </w:rPr>
              <w:t xml:space="preserve">La solución propuesta, denominada </w:t>
            </w:r>
            <w:r w:rsidDel="00000000" w:rsidR="00000000" w:rsidRPr="00000000">
              <w:rPr>
                <w:rFonts w:ascii="Calibri" w:cs="Calibri" w:eastAsia="Calibri" w:hAnsi="Calibri"/>
                <w:b w:val="1"/>
                <w:bCs w:val="1"/>
                <w:rtl w:val="0"/>
              </w:rPr>
              <w:t xml:space="preserve">KONEA Focus</w:t>
            </w:r>
            <w:r w:rsidDel="00000000" w:rsidR="00000000" w:rsidRPr="00000000">
              <w:rPr>
                <w:rFonts w:ascii="Calibri" w:cs="Calibri" w:eastAsia="Calibri" w:hAnsi="Calibri"/>
                <w:rtl w:val="0"/>
              </w:rPr>
              <w:t xml:space="preserve">, estará compuesta por dos partes conectadas: una </w:t>
            </w:r>
            <w:r w:rsidDel="00000000" w:rsidR="00000000" w:rsidRPr="00000000">
              <w:rPr>
                <w:rFonts w:ascii="Calibri" w:cs="Calibri" w:eastAsia="Calibri" w:hAnsi="Calibri"/>
                <w:b w:val="1"/>
                <w:bCs w:val="1"/>
                <w:rtl w:val="0"/>
              </w:rPr>
              <w:t xml:space="preserve">aplicación web</w:t>
            </w:r>
            <w:r w:rsidDel="00000000" w:rsidR="00000000" w:rsidRPr="00000000">
              <w:rPr>
                <w:rFonts w:ascii="Calibri" w:cs="Calibri" w:eastAsia="Calibri" w:hAnsi="Calibri"/>
                <w:rtl w:val="0"/>
              </w:rPr>
              <w:t xml:space="preserve">, donde el usuario podrá gestionar sus asignaturas, actividades y próximas evaluaciones, y una </w:t>
            </w:r>
            <w:r w:rsidDel="00000000" w:rsidR="00000000" w:rsidRPr="00000000">
              <w:rPr>
                <w:rFonts w:ascii="Calibri" w:cs="Calibri" w:eastAsia="Calibri" w:hAnsi="Calibri"/>
                <w:b w:val="1"/>
                <w:bCs w:val="1"/>
                <w:rtl w:val="0"/>
              </w:rPr>
              <w:t xml:space="preserve">aplicación de escritorio</w:t>
            </w:r>
            <w:r w:rsidDel="00000000" w:rsidR="00000000" w:rsidRPr="00000000">
              <w:rPr>
                <w:rFonts w:ascii="Calibri" w:cs="Calibri" w:eastAsia="Calibri" w:hAnsi="Calibri"/>
                <w:rtl w:val="0"/>
              </w:rPr>
              <w:t xml:space="preserve">, desde la cual podrá iniciar sesiones de estudio, utilizar Pomodoro, visualizar un avatar interactivo y registrar el tiempo dedicado a cada asignatura. Al finalizar cada sesión, la información se sincronizará con la plataforma principal, permitiendo mostrar estadísticas e indicadores como horas dedicadas por ramo, cantidad de sesiones realizadas y distribución semanal del estudio. Esta propuesta toma como base la idea de centralización académica de KONEA y la complementa con las funciones de seguimiento del tiempo, avatar y análisis de patrones</w:t>
            </w:r>
            <w:r w:rsidDel="00000000" w:rsidR="00000000" w:rsidRPr="00000000">
              <w:rPr>
                <w:rtl w:val="0"/>
              </w:rPr>
              <w:t xml:space="preserve">.</w:t>
            </w:r>
          </w:p>
          <w:p w:rsidR="00000000" w:rsidDel="00000000" w:rsidP="00000000" w:rsidRDefault="00000000" w:rsidRPr="00000000" w14:paraId="00000038">
            <w:pPr>
              <w:rPr>
                <w:rFonts w:ascii="Calibri" w:cs="Calibri" w:eastAsia="Calibri" w:hAnsi="Calibri"/>
              </w:rPr>
            </w:pPr>
            <w:r w:rsidDel="00000000" w:rsidR="00000000" w:rsidRPr="00000000">
              <w:rPr>
                <w:rFonts w:ascii="Calibri" w:cs="Calibri" w:eastAsia="Calibri" w:hAnsi="Calibri"/>
                <w:rtl w:val="0"/>
              </w:rPr>
              <w:br w:type="textWrapping"/>
              <w:t xml:space="preserve">Considerando la duración del semestre y el alcance realista del Capstone, el proyecto se abordará como un </w:t>
            </w:r>
            <w:r w:rsidDel="00000000" w:rsidR="00000000" w:rsidRPr="00000000">
              <w:rPr>
                <w:rFonts w:ascii="Calibri" w:cs="Calibri" w:eastAsia="Calibri" w:hAnsi="Calibri"/>
                <w:b w:val="1"/>
                <w:bCs w:val="1"/>
                <w:rtl w:val="0"/>
              </w:rPr>
              <w:t xml:space="preserve">MVP funcional</w:t>
            </w:r>
            <w:r w:rsidDel="00000000" w:rsidR="00000000" w:rsidRPr="00000000">
              <w:rPr>
                <w:rFonts w:ascii="Calibri" w:cs="Calibri" w:eastAsia="Calibri" w:hAnsi="Calibri"/>
                <w:rtl w:val="0"/>
              </w:rPr>
              <w:t xml:space="preserve">, centrado en las características esenciales: gestión de asignaturas, registro de actividades académicas, sesiones de estudio, Pomodoro, sincronización de datos y visualización básica de estadísticas. De esta manera, se busca garantizar un producto completo, coherente y demostrable al final del curso, evitando una sobrecarga de funcionalidades que comprometa la calidad de la implementación.</w:t>
            </w:r>
          </w:p>
        </w:tc>
      </w:tr>
      <w:tr>
        <w:trPr>
          <w:cantSplit w:val="0"/>
          <w:trHeight w:val="866"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A">
            <w:pPr>
              <w:spacing w:after="60" w:before="0" w:lineRule="auto"/>
              <w:jc w:val="both"/>
              <w:rPr/>
            </w:pPr>
            <w:r w:rsidDel="00000000" w:rsidR="00000000" w:rsidRPr="00000000">
              <w:rPr>
                <w:rFonts w:ascii="Calibri" w:cs="Calibri" w:eastAsia="Calibri" w:hAnsi="Calibri"/>
                <w:b w:val="0"/>
                <w:bCs w:val="0"/>
                <w:color w:val="000000"/>
                <w:rtl w:val="0"/>
              </w:rPr>
              <w:t xml:space="preserve">KONEA Focus se relaciona directamente con el perfil de egreso de Ingeniería en Informática, ya que exige analizar una problemática real, diseñar una solución tecnológica integral y desarrollar un producto de software completo utilizando criterios de arquitectura, escalabilidad, seguridad, calidad y usabilidad. El proyecto integra una aplicación web, un cliente de escritorio, una API y un modelo de datos común, por lo que requiere aplicar de manera transversal conocimientos adquiridos durante la carrera.</w:t>
            </w:r>
            <w:r w:rsidDel="00000000" w:rsidR="00000000" w:rsidRPr="00000000">
              <w:rPr>
                <w:rtl w:val="0"/>
              </w:rPr>
            </w:r>
          </w:p>
          <w:p w:rsidR="00000000" w:rsidDel="00000000" w:rsidP="00000000" w:rsidRDefault="00000000" w:rsidRPr="00000000" w14:paraId="0000003B">
            <w:pPr>
              <w:spacing w:after="60" w:before="0" w:lineRule="auto"/>
              <w:jc w:val="both"/>
              <w:rPr/>
            </w:pPr>
            <w:r w:rsidDel="00000000" w:rsidR="00000000" w:rsidRPr="00000000">
              <w:rPr>
                <w:rFonts w:ascii="Calibri" w:cs="Calibri" w:eastAsia="Calibri" w:hAnsi="Calibri"/>
                <w:b w:val="0"/>
                <w:bCs w:val="0"/>
                <w:color w:val="000000"/>
                <w:rtl w:val="0"/>
              </w:rPr>
              <w:t xml:space="preserve">Las competencias seleccionadas son necesarias para resolver la problemática propuesta porque permiten diseñar el modelo arquitectónico y de datos, construir y consumir servicios de aplicación, programar las funcionalidades del sistema, administrar la persistencia de información y realizar pruebas de calidad. Asimismo, la comunicación entre KONEA y</w:t>
            </w:r>
            <w:r w:rsidDel="00000000" w:rsidR="00000000" w:rsidRPr="00000000">
              <w:rPr>
                <w:rtl w:val="0"/>
              </w:rPr>
              <w:t xml:space="preserve"> la aplicación de escritorio</w:t>
            </w:r>
            <w:r w:rsidDel="00000000" w:rsidR="00000000" w:rsidRPr="00000000">
              <w:rPr>
                <w:rFonts w:ascii="Calibri" w:cs="Calibri" w:eastAsia="Calibri" w:hAnsi="Calibri"/>
                <w:b w:val="0"/>
                <w:bCs w:val="0"/>
                <w:color w:val="000000"/>
                <w:rtl w:val="0"/>
              </w:rPr>
              <w:t xml:space="preserve"> exige aplicar buenas prácticas de integración y seguridad, mientras que la planificación del trabajo, el control de versiones y la definición de entregables permiten demostrar competencias de gestión de proyectos informáticos. De esta forma, el proyecto evidencia capacidades técnicas y metodológicas propias del ejercicio profesional de un Ingeniero en Informática.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D">
            <w:pPr>
              <w:spacing w:after="60" w:before="0" w:lineRule="auto"/>
              <w:jc w:val="both"/>
              <w:rPr/>
            </w:pPr>
            <w:r w:rsidDel="00000000" w:rsidR="00000000" w:rsidRPr="00000000">
              <w:rPr>
                <w:rFonts w:ascii="Calibri" w:cs="Calibri" w:eastAsia="Calibri" w:hAnsi="Calibri"/>
                <w:b w:val="0"/>
                <w:bCs w:val="0"/>
                <w:color w:val="000000"/>
                <w:rtl w:val="0"/>
              </w:rPr>
              <w:t xml:space="preserve">Como equipo, nuestros intereses profesionales se relacionan con el desarrollo de software, la creación de aplicaciones web y de escritorio, el diseño de arquitecturas, el manejo de bases de datos y la construcción de productos digitales centrados en las necesidades de los usuarios. KONEA Focus permite reunir estas áreas dentro de una solución única, en la que cada integrante puede profundizar en una especialidad y, al mismo tiempo, participar en la integración global del sistema.</w:t>
            </w:r>
            <w:r w:rsidDel="00000000" w:rsidR="00000000" w:rsidRPr="00000000">
              <w:rPr>
                <w:rtl w:val="0"/>
              </w:rPr>
            </w:r>
          </w:p>
          <w:p w:rsidR="00000000" w:rsidDel="00000000" w:rsidP="00000000" w:rsidRDefault="00000000" w:rsidRPr="00000000" w14:paraId="0000003E">
            <w:pPr>
              <w:spacing w:after="60" w:before="0" w:lineRule="auto"/>
              <w:jc w:val="both"/>
              <w:rPr/>
            </w:pPr>
            <w:r w:rsidDel="00000000" w:rsidR="00000000" w:rsidRPr="00000000">
              <w:rPr>
                <w:rFonts w:ascii="Calibri" w:cs="Calibri" w:eastAsia="Calibri" w:hAnsi="Calibri"/>
                <w:b w:val="0"/>
                <w:bCs w:val="0"/>
                <w:color w:val="000000"/>
                <w:rtl w:val="0"/>
              </w:rPr>
              <w:t xml:space="preserve">El proyecto refleja especialmente nuestro interés por desarrollar soluciones completas y no solamente funcionalidades aisladas. La combinación entre una plataforma web académica y un asistente de escritorio permite trabajar con frontend, backend, persistencia, APIs, experiencia de usuario, pruebas y despliegue. Su realización contribuirá a nuestro desarrollo profesional al fortalecer el trabajo colaborativo con Git y GitHub, la toma de decisiones técnicas, la documentación de arquitectura, la resolución de problemas de integración y la construcción de un producto demostrable que puede formar parte de nuestro portafolio profesional.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0">
            <w:pPr>
              <w:spacing w:after="60" w:before="0" w:lineRule="auto"/>
              <w:jc w:val="both"/>
              <w:rPr/>
            </w:pPr>
            <w:r w:rsidDel="00000000" w:rsidR="00000000" w:rsidRPr="00000000">
              <w:rPr>
                <w:rFonts w:ascii="Calibri" w:cs="Calibri" w:eastAsia="Calibri" w:hAnsi="Calibri"/>
                <w:b w:val="0"/>
                <w:bCs w:val="0"/>
                <w:color w:val="000000"/>
                <w:rtl w:val="0"/>
              </w:rPr>
              <w:t xml:space="preserve">El desarrollo de KONEA Focus es factible dentro del semestre porque el alcance se ha reducido a un MVP funcional y demostrable. Durante las primeras cuatro semanas se definirá el problema, la arquitectura, el modelo de datos, los prototipos y el plan de trabajo; posteriormente se concentrará el desarrollo en las funciones esenciales: gestión de asignaturas y actividades, sesiones de estudio, Pomodoro, avatar básico, sincronización y estadísticas. Se evitará incorporar durante el semestre funcionalidades de mayor riesgo como integración real con sistemas institucionales, redes sociales universitarias, aprendizaje automático o interoperabilidad entre universidades.</w:t>
            </w:r>
            <w:r w:rsidDel="00000000" w:rsidR="00000000" w:rsidRPr="00000000">
              <w:rPr>
                <w:rtl w:val="0"/>
              </w:rPr>
              <w:t xml:space="preserve"> Los recursos necesarios son accesibles para el equipo: computadores personales, conexión a Internet, GitHub y herramientas gratuitas de desarrollo. El proyecto utiliza tecnologías como React, TypeScript, Node.js, PostgreSQL, Git y Docker, permitiendo trabajar con un entorno de desarrollo reproducible y sin requerir licencias de pago. Los principales riesgos corresponden al crecimiento no controlado del alcance, errores de integración entre frontend, backend y base de datos, además de dificultades relacionadas con seguridad, sincronización y despliegue de la aplicación. Para controlar estos riesgos se trabajará de forma incremental, priorizando las funcionalidades esenciales del MVP y realizando pruebas periódicas. Se utilizará GitHub para el control de versiones y Docker para estandarizar el entorno, reservando las últimas semanas para pruebas integrales, corrección de errores, documentación y preparación de la entrega final. </w:t>
            </w:r>
            <w:r w:rsidDel="00000000" w:rsidR="00000000" w:rsidRPr="00000000">
              <w:rPr>
                <w:rtl w:val="0"/>
              </w:rPr>
            </w:r>
          </w:p>
        </w:tc>
      </w:tr>
    </w:tbl>
    <w:p w:rsidR="00000000" w:rsidDel="00000000" w:rsidP="00000000" w:rsidRDefault="00000000" w:rsidRPr="00000000" w14:paraId="00000041">
      <w:pPr>
        <w:rPr>
          <w:b w:val="1"/>
          <w:bCs w:val="1"/>
          <w:color w:val="4472c4"/>
          <w:sz w:val="32"/>
          <w:szCs w:val="32"/>
        </w:rPr>
      </w:pP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3">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6">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7">
            <w:pPr>
              <w:spacing w:after="0" w:before="0" w:lineRule="auto"/>
              <w:jc w:val="both"/>
              <w:rPr/>
            </w:pPr>
            <w:r w:rsidDel="00000000" w:rsidR="00000000" w:rsidRPr="00000000">
              <w:rPr>
                <w:rFonts w:ascii="Calibri" w:cs="Calibri" w:eastAsia="Calibri" w:hAnsi="Calibri"/>
                <w:b w:val="0"/>
                <w:bCs w:val="0"/>
                <w:i w:val="0"/>
                <w:iCs w:val="0"/>
                <w:color w:val="000000"/>
                <w:rtl w:val="0"/>
              </w:rPr>
              <w:t xml:space="preserve">Desarrollar una solución de software integrada que permita a estudiantes de educación superior planificar sus actividades académicas, registrar sus sesiones de estudio mediante un asistente de escritorio y visualizar información sobre la distribución de su tiempo, con el fin de apoyar su organización y autogestión académica.</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9">
            <w:pPr>
              <w:spacing w:after="0" w:before="0" w:lineRule="auto"/>
              <w:jc w:val="both"/>
              <w:rPr/>
            </w:pPr>
            <w:r w:rsidDel="00000000" w:rsidR="00000000" w:rsidRPr="00000000">
              <w:rPr>
                <w:rFonts w:ascii="Calibri" w:cs="Calibri" w:eastAsia="Calibri" w:hAnsi="Calibri"/>
                <w:b w:val="0"/>
                <w:bCs w:val="0"/>
                <w:i w:val="0"/>
                <w:iCs w:val="0"/>
                <w:color w:val="000000"/>
                <w:rtl w:val="0"/>
              </w:rPr>
              <w:t xml:space="preserve">1. Diseñar e implementar una plataforma web para gestionar asignaturas, actividades académicas y fechas relevantes del estudiante.</w:t>
              <w:br w:type="textWrapping"/>
              <w:t xml:space="preserve">2. Desarrollar una aplicación de escritorio integrada que permita realizar sesiones de estudio, utilizar Pomodoro y representar el estado de la sesión mediante un avatar interactivo.</w:t>
              <w:br w:type="textWrapping"/>
              <w:t xml:space="preserve">3. Implementar una API y un modelo de datos escalable que permitan sincronizar la información académica y las sesiones de estudio entre los componentes del sistema.</w:t>
              <w:br w:type="textWrapping"/>
              <w:t xml:space="preserve">4. Implementar un dashboard con estadísticas básicas de tiempo de estudio, sesiones realizadas y distribución del esfuerzo por asignatura.</w:t>
              <w:br w:type="textWrapping"/>
              <w:t xml:space="preserve">5. Validar la solución mediante pruebas funcionales, de integración y calidad, documentar su arquitectura y desplegar el backend mediante Docker/Docker Compose.</w:t>
            </w:r>
            <w:r w:rsidDel="00000000" w:rsidR="00000000" w:rsidRPr="00000000">
              <w:rPr>
                <w:rtl w:val="0"/>
              </w:rPr>
            </w:r>
          </w:p>
        </w:tc>
      </w:tr>
    </w:tbl>
    <w:p w:rsidR="00000000" w:rsidDel="00000000" w:rsidP="00000000" w:rsidRDefault="00000000" w:rsidRPr="00000000" w14:paraId="0000004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C">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vAlign w:val="center"/>
          </w:tcPr>
          <w:p w:rsidR="00000000" w:rsidDel="00000000" w:rsidP="00000000" w:rsidRDefault="00000000" w:rsidRPr="00000000" w14:paraId="00000050">
            <w:pPr>
              <w:spacing w:after="60" w:before="0" w:lineRule="auto"/>
              <w:jc w:val="both"/>
              <w:rPr/>
            </w:pPr>
            <w:r w:rsidDel="00000000" w:rsidR="00000000" w:rsidRPr="00000000">
              <w:rPr>
                <w:rFonts w:ascii="Calibri" w:cs="Calibri" w:eastAsia="Calibri" w:hAnsi="Calibri"/>
                <w:b w:val="0"/>
                <w:bCs w:val="0"/>
                <w:i w:val="0"/>
                <w:iCs w:val="0"/>
                <w:color w:val="000000"/>
                <w:rtl w:val="0"/>
              </w:rPr>
              <w:t xml:space="preserve">El proyecto se desarrollará utilizando una metodología ágil basada en Scrum, adaptada a la duración del semestre. Durante la Fase 1 se realizará el levantamiento de la problemática, definición del alcance del MVP, priorización del Product Backlog, diseño de prototipos, arquitectura, modelo de datos y planificación. Durante la Fase 2 se trabajará en iteraciones cortas, priorizando primero la arquitectura base y la integración entre componentes y posteriormente las funcionalidades de mayor valor. Cada iteración finalizará con una revisión del incremento, actualización del repositorio y registro de tareas pendientes. Las últimas semanas de desarrollo se destinarán a pruebas, corrección de errores, containerización y documentación, evitando incorporar nuevas funcionalidades después del cierre técnico del MVP.</w:t>
            </w:r>
            <w:r w:rsidDel="00000000" w:rsidR="00000000" w:rsidRPr="00000000">
              <w:rPr>
                <w:rtl w:val="0"/>
              </w:rPr>
            </w:r>
          </w:p>
          <w:p w:rsidR="00000000" w:rsidDel="00000000" w:rsidP="00000000" w:rsidRDefault="00000000" w:rsidRPr="00000000" w14:paraId="00000051">
            <w:pPr>
              <w:spacing w:after="60" w:before="0" w:lineRule="auto"/>
              <w:jc w:val="both"/>
              <w:rPr/>
            </w:pPr>
            <w:r w:rsidDel="00000000" w:rsidR="00000000" w:rsidRPr="00000000">
              <w:rPr>
                <w:rFonts w:ascii="Calibri" w:cs="Calibri" w:eastAsia="Calibri" w:hAnsi="Calibri"/>
                <w:b w:val="0"/>
                <w:bCs w:val="0"/>
                <w:i w:val="0"/>
                <w:iCs w:val="0"/>
                <w:color w:val="000000"/>
                <w:rtl w:val="0"/>
              </w:rPr>
              <w:t xml:space="preserve">El equipo utilizará GitHub como repositorio público y mecanismo de seguimiento, empleando ramas por funcionalidad, pull requests y revisión de cambios. El backlog se organizará por historias de usuario y criterios de aceptación, y las pruebas se incorporarán progresivamente para evitar concentrarlas al final del semestre. La comunicación entre KONEA Web, la API </w:t>
            </w:r>
            <w:r w:rsidDel="00000000" w:rsidR="00000000" w:rsidRPr="00000000">
              <w:rPr>
                <w:rtl w:val="0"/>
              </w:rPr>
              <w:t xml:space="preserve">y La comunicación entre KONEA Web y la API se realizará mediante servicios REST, utilizando PostgreSQL como sistema principal de persistencia de datos. La aplicación mantendrá una arquitectura separada entre frontend, backend y base de datos, facilitando su desarrollo, pruebas y mantenimiento. </w:t>
            </w:r>
            <w:r w:rsidDel="00000000" w:rsidR="00000000" w:rsidRPr="00000000">
              <w:rPr>
                <w:rFonts w:ascii="Calibri" w:cs="Calibri" w:eastAsia="Calibri" w:hAnsi="Calibri"/>
                <w:b w:val="0"/>
                <w:bCs w:val="0"/>
                <w:i w:val="0"/>
                <w:iCs w:val="0"/>
                <w:color w:val="000000"/>
                <w:rtl w:val="0"/>
              </w:rPr>
              <w:t xml:space="preserve">Responsabilidades principales: Oscar Callejas estará a cargo del backend, API, modelo de datos, seguridad, integración y Docker; Danae Muñoz se enfocará en KONEA Web, experiencia de usuario, gestión académica y dashboard; Hilary Torres estará a cargo de</w:t>
            </w:r>
            <w:r w:rsidDel="00000000" w:rsidR="00000000" w:rsidRPr="00000000">
              <w:rPr>
                <w:rtl w:val="0"/>
              </w:rPr>
              <w:t xml:space="preserve"> la aplicación de </w:t>
            </w:r>
            <w:r w:rsidDel="00000000" w:rsidR="00000000" w:rsidRPr="00000000">
              <w:rPr>
                <w:rFonts w:ascii="Calibri" w:cs="Calibri" w:eastAsia="Calibri" w:hAnsi="Calibri"/>
                <w:b w:val="0"/>
                <w:bCs w:val="0"/>
                <w:i w:val="0"/>
                <w:iCs w:val="0"/>
                <w:color w:val="000000"/>
                <w:rtl w:val="0"/>
              </w:rPr>
              <w:t xml:space="preserve">Desktop, temporizador/Pomodoro, detección de actividad y avatar. La integración, pruebas, documentación, gestión del repositorio y preparación de la presentación final serán responsabilidades compartidas por los tres integrantes.</w:t>
            </w:r>
            <w:r w:rsidDel="00000000" w:rsidR="00000000" w:rsidRPr="00000000">
              <w:rPr>
                <w:rtl w:val="0"/>
              </w:rPr>
            </w:r>
          </w:p>
        </w:tc>
      </w:tr>
    </w:tbl>
    <w:p w:rsidR="00000000" w:rsidDel="00000000" w:rsidP="00000000" w:rsidRDefault="00000000" w:rsidRPr="00000000" w14:paraId="00000052">
      <w:pPr>
        <w:spacing w:after="0" w:line="360" w:lineRule="auto"/>
        <w:jc w:val="both"/>
        <w:rPr>
          <w:b w:val="1"/>
          <w:bCs w:val="1"/>
        </w:rPr>
      </w:pPr>
      <w:r w:rsidDel="00000000" w:rsidR="00000000" w:rsidRPr="00000000">
        <w:rPr>
          <w:rtl w:val="0"/>
        </w:rPr>
      </w:r>
    </w:p>
    <w:p w:rsidR="00000000" w:rsidDel="00000000" w:rsidP="00000000" w:rsidRDefault="00000000" w:rsidRPr="00000000" w14:paraId="00000053">
      <w:pPr>
        <w:spacing w:after="0" w:line="240" w:lineRule="auto"/>
        <w:rPr>
          <w:b w:val="1"/>
          <w:bCs w:val="1"/>
          <w:sz w:val="24"/>
          <w:szCs w:val="24"/>
        </w:rPr>
      </w:pP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4">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5">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6">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u w:val="none"/>
                <w:shd w:fill="auto" w:val="clear"/>
                <w:vertAlign w:val="baseline"/>
                <w:rtl w:val="0"/>
              </w:rPr>
              <w:t xml:space="preserve">Tipo de evidencia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u w:val="none"/>
                <w:shd w:fill="auto" w:val="clear"/>
                <w:vertAlign w:val="baseline"/>
                <w:rtl w:val="0"/>
              </w:rPr>
              <w:t xml:space="preserve">(avance o final)</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u w:val="none"/>
                <w:shd w:fill="auto" w:val="clear"/>
                <w:vertAlign w:val="baseline"/>
                <w:rtl w:val="0"/>
              </w:rPr>
              <w:t xml:space="preserve">Nombre de la evidencia</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u w:val="none"/>
                <w:shd w:fill="auto" w:val="clear"/>
                <w:vertAlign w:val="baseline"/>
                <w:rtl w:val="0"/>
              </w:rPr>
              <w:t xml:space="preserve">Descripción</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u w:val="none"/>
                <w:shd w:fill="auto" w:val="clear"/>
                <w:vertAlign w:val="baseline"/>
                <w:rtl w:val="0"/>
              </w:rPr>
              <w:t xml:space="preserve">Justificación</w:t>
            </w:r>
          </w:p>
        </w:tc>
      </w:tr>
      <w:tr>
        <w:trPr>
          <w:cantSplit w:val="0"/>
          <w:trHeight w:val="362" w:hRule="atLeast"/>
          <w:tblHeader w:val="0"/>
        </w:trPr>
        <w:tc>
          <w:tcPr>
            <w:tcMar>
              <w:top w:w="45.0" w:type="dxa"/>
              <w:bottom w:w="45.0" w:type="dxa"/>
            </w:tcMar>
            <w:vAlign w:val="center"/>
          </w:tcPr>
          <w:p w:rsidR="00000000" w:rsidDel="00000000" w:rsidP="00000000" w:rsidRDefault="00000000" w:rsidRPr="00000000" w14:paraId="0000005C">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Avance</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5D">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Repositorio y arquitectura inicial</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5E">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Repositorio GitHub público con README, backlog, estructura de ramas, arquitectura inicial, modelo de datos, diagramas UML clave y base de los componentes Web, API y Desktop.</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5F">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Permite evidenciar planificación, diseño técnico, control de versiones y una base implementada antes de la etapa de integración.</w:t>
            </w:r>
            <w:r w:rsidDel="00000000" w:rsidR="00000000" w:rsidRPr="00000000">
              <w:rPr>
                <w:rtl w:val="0"/>
              </w:rPr>
            </w:r>
          </w:p>
        </w:tc>
      </w:tr>
      <w:tr>
        <w:trPr>
          <w:cantSplit w:val="0"/>
          <w:trHeight w:val="362" w:hRule="atLeast"/>
          <w:tblHeader w:val="0"/>
        </w:trPr>
        <w:tc>
          <w:tcPr>
            <w:tcMar>
              <w:top w:w="45.0" w:type="dxa"/>
              <w:bottom w:w="45.0" w:type="dxa"/>
            </w:tcMar>
            <w:vAlign w:val="center"/>
          </w:tcPr>
          <w:p w:rsidR="00000000" w:rsidDel="00000000" w:rsidP="00000000" w:rsidRDefault="00000000" w:rsidRPr="00000000" w14:paraId="00000060">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Avance</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1">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MVP integrado parcial</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2">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Incremento funcional que permita crear o visualizar asignaturas, iniciar y finalizar una sesión desde </w:t>
            </w:r>
            <w:r w:rsidDel="00000000" w:rsidR="00000000" w:rsidRPr="00000000">
              <w:rPr>
                <w:rtl w:val="0"/>
              </w:rPr>
              <w:t xml:space="preserve">la aplicacion de escritorio </w:t>
            </w:r>
            <w:r w:rsidDel="00000000" w:rsidR="00000000" w:rsidRPr="00000000">
              <w:rPr>
                <w:rFonts w:ascii="Calibri" w:cs="Calibri" w:eastAsia="Calibri" w:hAnsi="Calibri"/>
                <w:b w:val="0"/>
                <w:bCs w:val="0"/>
                <w:i w:val="0"/>
                <w:iCs w:val="0"/>
                <w:color w:val="000000"/>
                <w:rtl w:val="0"/>
              </w:rPr>
              <w:t xml:space="preserve">y registrar/sincronizar la sesión mediante la API, acompañado de pruebas iniciales.</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3">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Demuestra que los componentes principales se comunican de extremo a extremo y reduce el riesgo técnico antes de continuar con funcionalidades secundarias.</w:t>
            </w:r>
            <w:r w:rsidDel="00000000" w:rsidR="00000000" w:rsidRPr="00000000">
              <w:rPr>
                <w:rtl w:val="0"/>
              </w:rPr>
            </w:r>
          </w:p>
        </w:tc>
      </w:tr>
      <w:tr>
        <w:trPr>
          <w:cantSplit w:val="0"/>
          <w:trHeight w:val="362" w:hRule="atLeast"/>
          <w:tblHeader w:val="0"/>
        </w:trPr>
        <w:tc>
          <w:tcPr>
            <w:tcMar>
              <w:top w:w="45.0" w:type="dxa"/>
              <w:bottom w:w="45.0" w:type="dxa"/>
            </w:tcMar>
            <w:vAlign w:val="center"/>
          </w:tcPr>
          <w:p w:rsidR="00000000" w:rsidDel="00000000" w:rsidP="00000000" w:rsidRDefault="00000000" w:rsidRPr="00000000" w14:paraId="00000064">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Final</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5">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Producto de software integrado</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6">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Versión final de KONEA Focus con aplicación web, backend, base de datos y cliente integrados; gestión académica básica, sesiones de estudio, Pomodoro, avatar básico, sincronización y dashboard estadístico.</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7">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Evidencia el cumplimiento del objetivo general mediante un producto completo, funcional y demostrable.</w:t>
            </w:r>
            <w:r w:rsidDel="00000000" w:rsidR="00000000" w:rsidRPr="00000000">
              <w:rPr>
                <w:rtl w:val="0"/>
              </w:rPr>
            </w:r>
          </w:p>
        </w:tc>
      </w:tr>
      <w:tr>
        <w:trPr>
          <w:cantSplit w:val="0"/>
          <w:trHeight w:val="362" w:hRule="atLeast"/>
          <w:tblHeader w:val="0"/>
        </w:trPr>
        <w:tc>
          <w:tcPr>
            <w:tcMar>
              <w:top w:w="45.0" w:type="dxa"/>
              <w:bottom w:w="45.0" w:type="dxa"/>
            </w:tcMar>
            <w:vAlign w:val="center"/>
          </w:tcPr>
          <w:p w:rsidR="00000000" w:rsidDel="00000000" w:rsidP="00000000" w:rsidRDefault="00000000" w:rsidRPr="00000000" w14:paraId="00000068">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Final</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9">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Evidencia técnica, pruebas y despliegue</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A">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Informe final, diagramas UML y ER actualizados, plan y resultados de pruebas, documentación de API, instrucciones de instalación, Docker/Docker Compose para los componentes de servidor y evidencias de funcionamiento.</w:t>
            </w:r>
            <w:r w:rsidDel="00000000" w:rsidR="00000000" w:rsidRPr="00000000">
              <w:rPr>
                <w:rtl w:val="0"/>
              </w:rPr>
            </w:r>
          </w:p>
        </w:tc>
        <w:tc>
          <w:tcPr>
            <w:tcMar>
              <w:top w:w="45.0" w:type="dxa"/>
              <w:bottom w:w="45.0" w:type="dxa"/>
            </w:tcMar>
            <w:vAlign w:val="center"/>
          </w:tcPr>
          <w:p w:rsidR="00000000" w:rsidDel="00000000" w:rsidP="00000000" w:rsidRDefault="00000000" w:rsidRPr="00000000" w14:paraId="0000006B">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Permite verificar calidad, arquitectura, trazabilidad del desarrollo, reproducibilidad del despliegue y cumplimiento de los requisitos técnicos de Capstone.</w:t>
            </w:r>
            <w:r w:rsidDel="00000000" w:rsidR="00000000" w:rsidRPr="00000000">
              <w:rPr>
                <w:rtl w:val="0"/>
              </w:rPr>
            </w:r>
          </w:p>
        </w:tc>
      </w:tr>
    </w:tbl>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D">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1"/>
        </w:trPr>
        <w:tc>
          <w:tcPr>
            <w:gridSpan w:val="7"/>
          </w:tcPr>
          <w:p w:rsidR="00000000" w:rsidDel="00000000" w:rsidP="00000000" w:rsidRDefault="00000000" w:rsidRPr="00000000" w14:paraId="00000070">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1"/>
        </w:trPr>
        <w:tc>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 o unidades de competencias</w:t>
            </w:r>
          </w:p>
        </w:tc>
        <w:tc>
          <w:tcPr>
            <w:vAlign w:val="center"/>
          </w:tcPr>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C">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7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1"/>
          <w:tblHeader w:val="0"/>
        </w:trPr>
        <w:tc>
          <w:tcPr>
            <w:tcMar>
              <w:top w:w="15.0" w:type="dxa"/>
              <w:bottom w:w="15.0" w:type="dxa"/>
            </w:tcMar>
            <w:vAlign w:val="center"/>
          </w:tcPr>
          <w:p w:rsidR="00000000" w:rsidDel="00000000" w:rsidP="00000000" w:rsidRDefault="00000000" w:rsidRPr="00000000" w14:paraId="0000007F">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Propuesta integral; gestión de proyectos; arquitectura</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0">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Definición y alcance</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1">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Validar problemática, usuarios, alcance del MVP, objetivos, historias de usuario y criterios de aceptación.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2">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Guía APT, GitHub, entrevistas/encuesta, herramientas de prototipado</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83">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1-2</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84">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Todo el equipo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5">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Riesgo de sobrealcance; se priorizará el flujo mínimo completo.</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86">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Arquitectura; modelos de datos; gestión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7">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Diseño técnico y planificación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8">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Definir arquitectura, ER, UML, contratos API, prototipos, backlog y planificación del semestre.</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9">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Draw.io/PlantUML, Figma, GitHub Projects, documentación técnica</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8A">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2-4</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8B">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Todo el equipo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C">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Debe quedar cerrado antes de iniciar desarrollo intensivo.</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8D">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Modelos de datos; programación; seguridad</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E">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Backend, API y base de datos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8F">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Implementar autenticación, usuarios, asignaturas, actividades, sesiones y persistencia principal.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0">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Java/.NET, PostgreSQL, REST, GitHub</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91">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5-7</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92">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Oscar Callejas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3">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Definir contratos API tempranamente para permitir trabajo paralelo.</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94">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Programación; solución sistémica</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5">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KONEA Web</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6">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Implementar interfaz web para login, asignaturas, actividades, planificación e interacción con la API.</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7">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React, API REST, prototipos UI</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98">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6-8</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99">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Danae Muñoz</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A">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Priorizar funcionalidad sobre características visuales secundarias.</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9B">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Programación; solución sistémica</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C">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FocusBuddy Desktop</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D">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Implementar cliente Electron, sesiones, Pomodoro, estados básicos del avatar y conexión con la API.</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9E">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Electron, React, SQLite, sprites</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9F">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6-8</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A0">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Hilary Torres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1">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Mantener solo estados esenciales del avatar en el MVP.</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A2">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Arquitectura; integración; calidad</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3">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Integración MVP</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4">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Integrar Web, API y FocusBuddy para completar el flujo asignatura -&gt; sesión -&gt; sincronización.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5">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Entornos locales, API, GitHub, herramientas de prueba</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A6">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8-9</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A7">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Todo el equipo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8">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Hito obligatorio para el Informe de Avance.</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A9">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Consultas/rutinas; programación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A">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Dashboard y estadísticas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B">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Implementar horas por asignatura, sesiones semanales, comparaciones básicas e historial.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C">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React, consultas SQL, librería de gráficos</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AD">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10-11</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AE">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Danae / Oscar</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AF">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Sin machine learning; se utilizarán métricas descriptivas y reglas simples.</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B0">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Pruebas; seguridad; administración de ambientes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1">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Calidad, seguridad y Docker</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2">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Ejecutar pruebas unitarias, integración y E2E; revisar seguridad y containerizar Web/API/PostgreSQL.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3">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Frameworks de test, Docker, Docker Compose, GitHub</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B4">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11-13</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B5">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Oscar / Todo el equipo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6">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Corregir defectos críticos antes del cierre técnico.</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B7">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Gestión; pruebas; propuesta integral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8">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Estabilización y entrega final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9">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Congelar funcionalidades, corregir errores, actualizar UML/ER, README, informe final y evidencias.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A">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GitHub, documentación, suite de pruebas</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BB">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13-15</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BC">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Todo el equipo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D">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 14 debe existir un producto terminado; semana 15 se usa como margen de corrección.</w:t>
            </w:r>
            <w:r w:rsidDel="00000000" w:rsidR="00000000" w:rsidRPr="00000000">
              <w:rPr>
                <w:rtl w:val="0"/>
              </w:rPr>
            </w:r>
          </w:p>
        </w:tc>
      </w:tr>
      <w:tr>
        <w:trPr>
          <w:cantSplit w:val="1"/>
          <w:tblHeader w:val="0"/>
        </w:trPr>
        <w:tc>
          <w:tcPr>
            <w:tcMar>
              <w:top w:w="15.0" w:type="dxa"/>
              <w:bottom w:w="15.0" w:type="dxa"/>
            </w:tcMar>
            <w:vAlign w:val="center"/>
          </w:tcPr>
          <w:p w:rsidR="00000000" w:rsidDel="00000000" w:rsidP="00000000" w:rsidRDefault="00000000" w:rsidRPr="00000000" w14:paraId="000000BE">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Comunicación; gestión de proyectos</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BF">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Preparación de defensa</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C0">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Preparar demostración, presentación, distribución de exposición y respuestas técnicas para comisión.</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C1">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Proyecto final, presentación, evidencias y documentación</w:t>
            </w:r>
            <w:r w:rsidDel="00000000" w:rsidR="00000000" w:rsidRPr="00000000">
              <w:rPr>
                <w:rtl w:val="0"/>
              </w:rPr>
            </w:r>
          </w:p>
        </w:tc>
        <w:tc>
          <w:tcPr>
            <w:tcBorders>
              <w:right w:color="ffffff" w:space="0" w:sz="4" w:val="single"/>
            </w:tcBorders>
            <w:tcMar>
              <w:top w:w="15.0" w:type="dxa"/>
              <w:bottom w:w="15.0" w:type="dxa"/>
            </w:tcMar>
            <w:vAlign w:val="center"/>
          </w:tcPr>
          <w:p w:rsidR="00000000" w:rsidDel="00000000" w:rsidP="00000000" w:rsidRDefault="00000000" w:rsidRPr="00000000" w14:paraId="000000C2">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Semanas 16-18</w:t>
            </w:r>
            <w:r w:rsidDel="00000000" w:rsidR="00000000" w:rsidRPr="00000000">
              <w:rPr>
                <w:rtl w:val="0"/>
              </w:rPr>
            </w:r>
          </w:p>
        </w:tc>
        <w:tc>
          <w:tcPr>
            <w:tcBorders>
              <w:left w:color="ffffff" w:space="0" w:sz="4" w:val="single"/>
            </w:tcBorders>
            <w:shd w:fill="d9d9d9" w:val="clear"/>
            <w:tcMar>
              <w:top w:w="15.0" w:type="dxa"/>
              <w:bottom w:w="15.0" w:type="dxa"/>
            </w:tcMar>
            <w:vAlign w:val="center"/>
          </w:tcPr>
          <w:p w:rsidR="00000000" w:rsidDel="00000000" w:rsidP="00000000" w:rsidRDefault="00000000" w:rsidRPr="00000000" w14:paraId="000000C3">
            <w:pPr>
              <w:spacing w:after="0" w:before="0" w:lineRule="auto"/>
              <w:jc w:val="left"/>
              <w:rPr/>
            </w:pPr>
            <w:r w:rsidDel="00000000" w:rsidR="00000000" w:rsidRPr="00000000">
              <w:rPr>
                <w:rFonts w:ascii="Calibri" w:cs="Calibri" w:eastAsia="Calibri" w:hAnsi="Calibri"/>
                <w:b w:val="1"/>
                <w:bCs w:val="1"/>
                <w:i w:val="0"/>
                <w:iCs w:val="0"/>
                <w:color w:val="000000"/>
                <w:rtl w:val="0"/>
              </w:rPr>
              <w:t xml:space="preserve">Todo el equipo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C4">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Ensayar demo con datos controlados y plan de contingencia.</w:t>
            </w:r>
            <w:r w:rsidDel="00000000" w:rsidR="00000000" w:rsidRPr="00000000">
              <w:rPr>
                <w:rtl w:val="0"/>
              </w:rPr>
            </w:r>
          </w:p>
        </w:tc>
      </w:tr>
    </w:tbl>
    <w:p w:rsidR="00000000" w:rsidDel="00000000" w:rsidP="00000000" w:rsidRDefault="00000000" w:rsidRPr="00000000" w14:paraId="000000C5">
      <w:pPr>
        <w:spacing w:after="0" w:line="360" w:lineRule="auto"/>
        <w:jc w:val="both"/>
        <w:rPr>
          <w:b w:val="1"/>
          <w:bCs w:val="1"/>
        </w:rPr>
      </w:pPr>
      <w:r w:rsidDel="00000000" w:rsidR="00000000" w:rsidRPr="00000000">
        <w:rPr>
          <w:rtl w:val="0"/>
        </w:rPr>
      </w:r>
    </w:p>
    <w:p w:rsidR="00000000" w:rsidDel="00000000" w:rsidP="00000000" w:rsidRDefault="00000000" w:rsidRPr="00000000" w14:paraId="000000C6">
      <w:pPr>
        <w:rPr/>
      </w:pPr>
      <w:r w:rsidDel="00000000" w:rsidR="00000000" w:rsidRPr="00000000">
        <w:br w:type="page"/>
      </w: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C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A">
      <w:pPr>
        <w:spacing w:after="0" w:line="360" w:lineRule="auto"/>
        <w:jc w:val="both"/>
        <w:rPr>
          <w:b w:val="1"/>
          <w:bCs w:val="1"/>
          <w:sz w:val="24"/>
          <w:szCs w:val="24"/>
        </w:rPr>
      </w:pPr>
      <w:r w:rsidDel="00000000" w:rsidR="00000000" w:rsidRPr="00000000">
        <w:rPr>
          <w:rtl w:val="0"/>
        </w:rPr>
      </w:r>
    </w:p>
    <w:tbl>
      <w:tblPr>
        <w:tblStyle w:val="Table16"/>
        <w:tblW w:w="96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450"/>
        <w:gridCol w:w="450"/>
        <w:gridCol w:w="450"/>
        <w:gridCol w:w="450"/>
        <w:gridCol w:w="450"/>
        <w:gridCol w:w="450"/>
        <w:gridCol w:w="450"/>
        <w:gridCol w:w="450"/>
        <w:gridCol w:w="450"/>
        <w:gridCol w:w="450"/>
        <w:gridCol w:w="450"/>
        <w:gridCol w:w="450"/>
        <w:gridCol w:w="450"/>
        <w:gridCol w:w="450"/>
        <w:gridCol w:w="450"/>
        <w:gridCol w:w="450"/>
        <w:gridCol w:w="450"/>
        <w:gridCol w:w="450"/>
        <w:tblGridChange w:id="0">
          <w:tblGrid>
            <w:gridCol w:w="1560"/>
            <w:gridCol w:w="450"/>
            <w:gridCol w:w="450"/>
            <w:gridCol w:w="450"/>
            <w:gridCol w:w="450"/>
            <w:gridCol w:w="450"/>
            <w:gridCol w:w="450"/>
            <w:gridCol w:w="450"/>
            <w:gridCol w:w="450"/>
            <w:gridCol w:w="450"/>
            <w:gridCol w:w="450"/>
            <w:gridCol w:w="450"/>
            <w:gridCol w:w="450"/>
            <w:gridCol w:w="450"/>
            <w:gridCol w:w="450"/>
            <w:gridCol w:w="450"/>
            <w:gridCol w:w="450"/>
            <w:gridCol w:w="450"/>
            <w:gridCol w:w="450"/>
          </w:tblGrid>
        </w:tblGridChange>
      </w:tblGrid>
      <w:tr>
        <w:trPr>
          <w:cantSplit w:val="0"/>
          <w:tblHeader w:val="1"/>
        </w:trPr>
        <w:tc>
          <w:tcPr>
            <w:shd w:fill="d9e2f3" w:val="clear"/>
            <w:tcMar>
              <w:top w:w="8.0" w:type="dxa"/>
              <w:bottom w:w="8.0" w:type="dxa"/>
            </w:tcMar>
            <w:vAlign w:val="center"/>
          </w:tcPr>
          <w:p w:rsidR="00000000" w:rsidDel="00000000" w:rsidP="00000000" w:rsidRDefault="00000000" w:rsidRPr="00000000" w14:paraId="000000CB">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Actividad</w:t>
            </w:r>
            <w:r w:rsidDel="00000000" w:rsidR="00000000" w:rsidRPr="00000000">
              <w:rPr>
                <w:rtl w:val="0"/>
              </w:rPr>
            </w:r>
          </w:p>
        </w:tc>
        <w:tc>
          <w:tcPr>
            <w:gridSpan w:val="4"/>
            <w:shd w:fill="e2f0d9" w:val="clear"/>
            <w:tcMar>
              <w:top w:w="8.0" w:type="dxa"/>
              <w:bottom w:w="8.0" w:type="dxa"/>
            </w:tcMar>
            <w:vAlign w:val="center"/>
          </w:tcPr>
          <w:p w:rsidR="00000000" w:rsidDel="00000000" w:rsidP="00000000" w:rsidRDefault="00000000" w:rsidRPr="00000000" w14:paraId="000000CC">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Fase 1</w:t>
            </w:r>
            <w:r w:rsidDel="00000000" w:rsidR="00000000" w:rsidRPr="00000000">
              <w:rPr>
                <w:rtl w:val="0"/>
              </w:rPr>
            </w:r>
          </w:p>
        </w:tc>
        <w:tc>
          <w:tcPr>
            <w:gridSpan w:val="11"/>
            <w:shd w:fill="fff2cc" w:val="clear"/>
            <w:tcMar>
              <w:top w:w="8.0" w:type="dxa"/>
              <w:bottom w:w="8.0" w:type="dxa"/>
            </w:tcMar>
            <w:vAlign w:val="center"/>
          </w:tcPr>
          <w:p w:rsidR="00000000" w:rsidDel="00000000" w:rsidP="00000000" w:rsidRDefault="00000000" w:rsidRPr="00000000" w14:paraId="000000D0">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Fase 2</w:t>
            </w:r>
            <w:r w:rsidDel="00000000" w:rsidR="00000000" w:rsidRPr="00000000">
              <w:rPr>
                <w:rtl w:val="0"/>
              </w:rPr>
            </w:r>
          </w:p>
        </w:tc>
        <w:tc>
          <w:tcPr>
            <w:gridSpan w:val="3"/>
            <w:shd w:fill="fce4d6" w:val="clear"/>
            <w:tcMar>
              <w:top w:w="8.0" w:type="dxa"/>
              <w:bottom w:w="8.0" w:type="dxa"/>
            </w:tcMar>
            <w:vAlign w:val="center"/>
          </w:tcPr>
          <w:p w:rsidR="00000000" w:rsidDel="00000000" w:rsidP="00000000" w:rsidRDefault="00000000" w:rsidRPr="00000000" w14:paraId="000000DB">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Fase 3</w:t>
            </w:r>
            <w:r w:rsidDel="00000000" w:rsidR="00000000" w:rsidRPr="00000000">
              <w:rPr>
                <w:rtl w:val="0"/>
              </w:rPr>
            </w:r>
          </w:p>
        </w:tc>
      </w:tr>
      <w:tr>
        <w:trPr>
          <w:cantSplit w:val="0"/>
          <w:tblHeader w:val="1"/>
        </w:trPr>
        <w:tc>
          <w:tcPr>
            <w:shd w:fill="d9e2f3" w:val="clear"/>
            <w:tcMar>
              <w:top w:w="8.0" w:type="dxa"/>
              <w:bottom w:w="8.0" w:type="dxa"/>
            </w:tcMar>
            <w:vAlign w:val="center"/>
          </w:tcPr>
          <w:p w:rsidR="00000000" w:rsidDel="00000000" w:rsidP="00000000" w:rsidRDefault="00000000" w:rsidRPr="00000000" w14:paraId="000000DE">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Actividad</w:t>
            </w:r>
            <w:r w:rsidDel="00000000" w:rsidR="00000000" w:rsidRPr="00000000">
              <w:rPr>
                <w:rtl w:val="0"/>
              </w:rPr>
            </w:r>
          </w:p>
        </w:tc>
        <w:tc>
          <w:tcPr>
            <w:shd w:fill="e2f0d9" w:val="clear"/>
            <w:tcMar>
              <w:top w:w="8.0" w:type="dxa"/>
              <w:bottom w:w="8.0" w:type="dxa"/>
            </w:tcMar>
            <w:vAlign w:val="center"/>
          </w:tcPr>
          <w:p w:rsidR="00000000" w:rsidDel="00000000" w:rsidP="00000000" w:rsidRDefault="00000000" w:rsidRPr="00000000" w14:paraId="000000DF">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w:t>
            </w:r>
            <w:r w:rsidDel="00000000" w:rsidR="00000000" w:rsidRPr="00000000">
              <w:rPr>
                <w:rtl w:val="0"/>
              </w:rPr>
            </w:r>
          </w:p>
        </w:tc>
        <w:tc>
          <w:tcPr>
            <w:shd w:fill="e2f0d9" w:val="clear"/>
            <w:tcMar>
              <w:top w:w="8.0" w:type="dxa"/>
              <w:bottom w:w="8.0" w:type="dxa"/>
            </w:tcMar>
            <w:vAlign w:val="center"/>
          </w:tcPr>
          <w:p w:rsidR="00000000" w:rsidDel="00000000" w:rsidP="00000000" w:rsidRDefault="00000000" w:rsidRPr="00000000" w14:paraId="000000E0">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S2</w:t>
            </w:r>
            <w:r w:rsidDel="00000000" w:rsidR="00000000" w:rsidRPr="00000000">
              <w:rPr>
                <w:rtl w:val="0"/>
              </w:rPr>
            </w:r>
          </w:p>
        </w:tc>
        <w:tc>
          <w:tcPr>
            <w:shd w:fill="e2f0d9" w:val="clear"/>
            <w:tcMar>
              <w:top w:w="8.0" w:type="dxa"/>
              <w:bottom w:w="8.0" w:type="dxa"/>
            </w:tcMar>
            <w:vAlign w:val="center"/>
          </w:tcPr>
          <w:p w:rsidR="00000000" w:rsidDel="00000000" w:rsidP="00000000" w:rsidRDefault="00000000" w:rsidRPr="00000000" w14:paraId="000000E1">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S3</w:t>
            </w:r>
            <w:r w:rsidDel="00000000" w:rsidR="00000000" w:rsidRPr="00000000">
              <w:rPr>
                <w:rtl w:val="0"/>
              </w:rPr>
            </w:r>
          </w:p>
        </w:tc>
        <w:tc>
          <w:tcPr>
            <w:shd w:fill="e2f0d9" w:val="clear"/>
            <w:tcMar>
              <w:top w:w="8.0" w:type="dxa"/>
              <w:bottom w:w="8.0" w:type="dxa"/>
            </w:tcMar>
            <w:vAlign w:val="center"/>
          </w:tcPr>
          <w:p w:rsidR="00000000" w:rsidDel="00000000" w:rsidP="00000000" w:rsidRDefault="00000000" w:rsidRPr="00000000" w14:paraId="000000E2">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S4</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3">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S5</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4">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S6</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5">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S7</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6">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S8</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7">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S9</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8">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S10</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9">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S11</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A">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S12</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B">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S13</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C">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S14</w:t>
            </w:r>
            <w:r w:rsidDel="00000000" w:rsidR="00000000" w:rsidRPr="00000000">
              <w:rPr>
                <w:rtl w:val="0"/>
              </w:rPr>
            </w:r>
          </w:p>
        </w:tc>
        <w:tc>
          <w:tcPr>
            <w:shd w:fill="fff2cc" w:val="clear"/>
            <w:tcMar>
              <w:top w:w="8.0" w:type="dxa"/>
              <w:bottom w:w="8.0" w:type="dxa"/>
            </w:tcMar>
            <w:vAlign w:val="center"/>
          </w:tcPr>
          <w:p w:rsidR="00000000" w:rsidDel="00000000" w:rsidP="00000000" w:rsidRDefault="00000000" w:rsidRPr="00000000" w14:paraId="000000ED">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S15</w:t>
            </w:r>
            <w:r w:rsidDel="00000000" w:rsidR="00000000" w:rsidRPr="00000000">
              <w:rPr>
                <w:rtl w:val="0"/>
              </w:rPr>
            </w:r>
          </w:p>
        </w:tc>
        <w:tc>
          <w:tcPr>
            <w:shd w:fill="fce4d6" w:val="clear"/>
            <w:tcMar>
              <w:top w:w="8.0" w:type="dxa"/>
              <w:bottom w:w="8.0" w:type="dxa"/>
            </w:tcMar>
            <w:vAlign w:val="center"/>
          </w:tcPr>
          <w:p w:rsidR="00000000" w:rsidDel="00000000" w:rsidP="00000000" w:rsidRDefault="00000000" w:rsidRPr="00000000" w14:paraId="000000EE">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S16</w:t>
            </w:r>
            <w:r w:rsidDel="00000000" w:rsidR="00000000" w:rsidRPr="00000000">
              <w:rPr>
                <w:rtl w:val="0"/>
              </w:rPr>
            </w:r>
          </w:p>
        </w:tc>
        <w:tc>
          <w:tcPr>
            <w:shd w:fill="fce4d6" w:val="clear"/>
            <w:tcMar>
              <w:top w:w="8.0" w:type="dxa"/>
              <w:bottom w:w="8.0" w:type="dxa"/>
            </w:tcMar>
            <w:vAlign w:val="center"/>
          </w:tcPr>
          <w:p w:rsidR="00000000" w:rsidDel="00000000" w:rsidP="00000000" w:rsidRDefault="00000000" w:rsidRPr="00000000" w14:paraId="000000EF">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S17</w:t>
            </w:r>
            <w:r w:rsidDel="00000000" w:rsidR="00000000" w:rsidRPr="00000000">
              <w:rPr>
                <w:rtl w:val="0"/>
              </w:rPr>
            </w:r>
          </w:p>
        </w:tc>
        <w:tc>
          <w:tcPr>
            <w:shd w:fill="fce4d6" w:val="clear"/>
            <w:tcMar>
              <w:top w:w="8.0" w:type="dxa"/>
              <w:bottom w:w="8.0" w:type="dxa"/>
            </w:tcMar>
            <w:vAlign w:val="center"/>
          </w:tcPr>
          <w:p w:rsidR="00000000" w:rsidDel="00000000" w:rsidP="00000000" w:rsidRDefault="00000000" w:rsidRPr="00000000" w14:paraId="000000F0">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S18</w:t>
            </w: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0F1">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Alcance MVP</w:t>
            </w:r>
            <w:r w:rsidDel="00000000" w:rsidR="00000000" w:rsidRPr="00000000">
              <w:rPr>
                <w:rtl w:val="0"/>
              </w:rPr>
            </w:r>
          </w:p>
        </w:tc>
        <w:tc>
          <w:tcPr>
            <w:shd w:fill="d9ead3" w:val="clear"/>
            <w:tcMar>
              <w:top w:w="15.0" w:type="dxa"/>
              <w:bottom w:w="15.0" w:type="dxa"/>
            </w:tcMar>
            <w:vAlign w:val="center"/>
          </w:tcPr>
          <w:p w:rsidR="00000000" w:rsidDel="00000000" w:rsidP="00000000" w:rsidRDefault="00000000" w:rsidRPr="00000000" w14:paraId="000000F2">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d9ead3" w:val="clear"/>
            <w:tcMar>
              <w:top w:w="15.0" w:type="dxa"/>
              <w:bottom w:w="15.0" w:type="dxa"/>
            </w:tcMar>
            <w:vAlign w:val="center"/>
          </w:tcPr>
          <w:p w:rsidR="00000000" w:rsidDel="00000000" w:rsidP="00000000" w:rsidRDefault="00000000" w:rsidRPr="00000000" w14:paraId="000000F3">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0F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3">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04">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Diseño técnico</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5">
            <w:pPr>
              <w:spacing w:after="0" w:before="0" w:lineRule="auto"/>
              <w:jc w:val="center"/>
              <w:rPr/>
            </w:pPr>
            <w:r w:rsidDel="00000000" w:rsidR="00000000" w:rsidRPr="00000000">
              <w:rPr>
                <w:rtl w:val="0"/>
              </w:rPr>
            </w:r>
          </w:p>
        </w:tc>
        <w:tc>
          <w:tcPr>
            <w:shd w:fill="d9ead3" w:val="clear"/>
            <w:tcMar>
              <w:top w:w="15.0" w:type="dxa"/>
              <w:bottom w:w="15.0" w:type="dxa"/>
            </w:tcMar>
            <w:vAlign w:val="center"/>
          </w:tcPr>
          <w:p w:rsidR="00000000" w:rsidDel="00000000" w:rsidP="00000000" w:rsidRDefault="00000000" w:rsidRPr="00000000" w14:paraId="00000106">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d9ead3" w:val="clear"/>
            <w:tcMar>
              <w:top w:w="15.0" w:type="dxa"/>
              <w:bottom w:w="15.0" w:type="dxa"/>
            </w:tcMar>
            <w:vAlign w:val="center"/>
          </w:tcPr>
          <w:p w:rsidR="00000000" w:rsidDel="00000000" w:rsidP="00000000" w:rsidRDefault="00000000" w:rsidRPr="00000000" w14:paraId="00000107">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d9ead3" w:val="clear"/>
            <w:tcMar>
              <w:top w:w="15.0" w:type="dxa"/>
              <w:bottom w:w="15.0" w:type="dxa"/>
            </w:tcMar>
            <w:vAlign w:val="center"/>
          </w:tcPr>
          <w:p w:rsidR="00000000" w:rsidDel="00000000" w:rsidP="00000000" w:rsidRDefault="00000000" w:rsidRPr="00000000" w14:paraId="00000108">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0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6">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17">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Backend y BD</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B">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1C">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1D">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1E">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1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9">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2A">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KONEA Web</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2F">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30">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31">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32">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C">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3D">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FocusBuddy</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3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2">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43">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44">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45">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4F">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50">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Integración MVP</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7">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58">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59">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5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2">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63">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Dashboard</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C">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6D">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6E">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6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5">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76">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Calidad y Docker</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7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0">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81">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82">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83">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8">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89">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Entrega final</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B">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C">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8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5">
            <w:pPr>
              <w:spacing w:after="0" w:before="0" w:lineRule="auto"/>
              <w:jc w:val="center"/>
              <w:rPr/>
            </w:pP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96">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97">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ce5cd" w:val="clear"/>
            <w:tcMar>
              <w:top w:w="15.0" w:type="dxa"/>
              <w:bottom w:w="15.0" w:type="dxa"/>
            </w:tcMar>
            <w:vAlign w:val="center"/>
          </w:tcPr>
          <w:p w:rsidR="00000000" w:rsidDel="00000000" w:rsidP="00000000" w:rsidRDefault="00000000" w:rsidRPr="00000000" w14:paraId="00000198">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B">
            <w:pPr>
              <w:spacing w:after="0" w:before="0" w:lineRule="auto"/>
              <w:jc w:val="center"/>
              <w:rPr/>
            </w:pPr>
            <w:r w:rsidDel="00000000" w:rsidR="00000000" w:rsidRPr="00000000">
              <w:rPr>
                <w:rtl w:val="0"/>
              </w:rPr>
            </w:r>
          </w:p>
        </w:tc>
      </w:tr>
      <w:tr>
        <w:trPr>
          <w:cantSplit w:val="1"/>
          <w:tblHeader w:val="0"/>
        </w:trPr>
        <w:tc>
          <w:tcPr>
            <w:tcMar>
              <w:top w:w="10.0" w:type="dxa"/>
              <w:bottom w:w="10.0" w:type="dxa"/>
            </w:tcMar>
            <w:vAlign w:val="center"/>
          </w:tcPr>
          <w:p w:rsidR="00000000" w:rsidDel="00000000" w:rsidP="00000000" w:rsidRDefault="00000000" w:rsidRPr="00000000" w14:paraId="0000019C">
            <w:pPr>
              <w:spacing w:after="0" w:before="0" w:lineRule="auto"/>
              <w:jc w:val="left"/>
              <w:rPr/>
            </w:pPr>
            <w:r w:rsidDel="00000000" w:rsidR="00000000" w:rsidRPr="00000000">
              <w:rPr>
                <w:rFonts w:ascii="Calibri" w:cs="Calibri" w:eastAsia="Calibri" w:hAnsi="Calibri"/>
                <w:b w:val="0"/>
                <w:bCs w:val="0"/>
                <w:i w:val="0"/>
                <w:iCs w:val="0"/>
                <w:color w:val="000000"/>
                <w:rtl w:val="0"/>
              </w:rPr>
              <w:t xml:space="preserve">Defensa</w:t>
            </w: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D">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E">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9F">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0">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1">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2">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3">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4">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5">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6">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7">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8">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9">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A">
            <w:pPr>
              <w:spacing w:after="0" w:before="0" w:lineRule="auto"/>
              <w:jc w:val="center"/>
              <w:rPr/>
            </w:pPr>
            <w:r w:rsidDel="00000000" w:rsidR="00000000" w:rsidRPr="00000000">
              <w:rPr>
                <w:rtl w:val="0"/>
              </w:rPr>
            </w:r>
          </w:p>
        </w:tc>
        <w:tc>
          <w:tcPr>
            <w:tcMar>
              <w:top w:w="15.0" w:type="dxa"/>
              <w:bottom w:w="15.0" w:type="dxa"/>
            </w:tcMar>
            <w:vAlign w:val="center"/>
          </w:tcPr>
          <w:p w:rsidR="00000000" w:rsidDel="00000000" w:rsidP="00000000" w:rsidRDefault="00000000" w:rsidRPr="00000000" w14:paraId="000001AB">
            <w:pPr>
              <w:spacing w:after="0" w:before="0" w:lineRule="auto"/>
              <w:jc w:val="center"/>
              <w:rPr/>
            </w:pPr>
            <w:r w:rsidDel="00000000" w:rsidR="00000000" w:rsidRPr="00000000">
              <w:rPr>
                <w:rtl w:val="0"/>
              </w:rPr>
            </w:r>
          </w:p>
        </w:tc>
        <w:tc>
          <w:tcPr>
            <w:shd w:fill="f4cccc" w:val="clear"/>
            <w:tcMar>
              <w:top w:w="15.0" w:type="dxa"/>
              <w:bottom w:w="15.0" w:type="dxa"/>
            </w:tcMar>
            <w:vAlign w:val="center"/>
          </w:tcPr>
          <w:p w:rsidR="00000000" w:rsidDel="00000000" w:rsidP="00000000" w:rsidRDefault="00000000" w:rsidRPr="00000000" w14:paraId="000001AC">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4cccc" w:val="clear"/>
            <w:tcMar>
              <w:top w:w="15.0" w:type="dxa"/>
              <w:bottom w:w="15.0" w:type="dxa"/>
            </w:tcMar>
            <w:vAlign w:val="center"/>
          </w:tcPr>
          <w:p w:rsidR="00000000" w:rsidDel="00000000" w:rsidP="00000000" w:rsidRDefault="00000000" w:rsidRPr="00000000" w14:paraId="000001AD">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c>
          <w:tcPr>
            <w:shd w:fill="f4cccc" w:val="clear"/>
            <w:tcMar>
              <w:top w:w="15.0" w:type="dxa"/>
              <w:bottom w:w="15.0" w:type="dxa"/>
            </w:tcMar>
            <w:vAlign w:val="center"/>
          </w:tcPr>
          <w:p w:rsidR="00000000" w:rsidDel="00000000" w:rsidP="00000000" w:rsidRDefault="00000000" w:rsidRPr="00000000" w14:paraId="000001AE">
            <w:pPr>
              <w:spacing w:after="0" w:before="0" w:lineRule="auto"/>
              <w:jc w:val="center"/>
              <w:rPr/>
            </w:pPr>
            <w:r w:rsidDel="00000000" w:rsidR="00000000" w:rsidRPr="00000000">
              <w:rPr>
                <w:rFonts w:ascii="Calibri" w:cs="Calibri" w:eastAsia="Calibri" w:hAnsi="Calibri"/>
                <w:b w:val="1"/>
                <w:bCs w:val="1"/>
                <w:i w:val="0"/>
                <w:iCs w:val="0"/>
                <w:color w:val="000000"/>
                <w:rtl w:val="0"/>
              </w:rPr>
              <w:t xml:space="preserve">X</w:t>
            </w:r>
            <w:r w:rsidDel="00000000" w:rsidR="00000000" w:rsidRPr="00000000">
              <w:rPr>
                <w:rtl w:val="0"/>
              </w:rPr>
            </w:r>
          </w:p>
        </w:tc>
      </w:tr>
    </w:tbl>
    <w:p w:rsidR="00000000" w:rsidDel="00000000" w:rsidP="00000000" w:rsidRDefault="00000000" w:rsidRPr="00000000" w14:paraId="000001AF">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B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B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B3">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vZGy6pxjmIzqJuQodCyHAYoEug==">CgMxLjA4AHIhMS1qVjRYVGtfNjhuclNQS1VPRnlKUmhIeFoxTmtiTHJz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2026-08-19T18:13:00Z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