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 </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Oscar Callejas </w:t>
            </w:r>
          </w:p>
          <w:p w:rsidR="00000000" w:rsidDel="00000000" w:rsidP="00000000" w:rsidRDefault="00000000" w:rsidRPr="00000000" w14:paraId="0000000E">
            <w:pPr>
              <w:rPr>
                <w:b w:val="1"/>
                <w:bCs w:val="1"/>
              </w:rPr>
            </w:pPr>
            <w:r w:rsidDel="00000000" w:rsidR="00000000" w:rsidRPr="00000000">
              <w:rPr>
                <w:b w:val="1"/>
                <w:bCs w:val="1"/>
                <w:rtl w:val="0"/>
              </w:rPr>
              <w:t xml:space="preserve">Hilary Torres </w:t>
            </w:r>
          </w:p>
          <w:p w:rsidR="00000000" w:rsidDel="00000000" w:rsidP="00000000" w:rsidRDefault="00000000" w:rsidRPr="00000000" w14:paraId="0000000F">
            <w:pPr>
              <w:rPr>
                <w:b w:val="1"/>
                <w:bCs w:val="1"/>
              </w:rPr>
            </w:pPr>
            <w:r w:rsidDel="00000000" w:rsidR="00000000" w:rsidRPr="00000000">
              <w:rPr>
                <w:b w:val="1"/>
                <w:bCs w:val="1"/>
                <w:rtl w:val="0"/>
              </w:rPr>
              <w:t xml:space="preserve">Danae Muñoz </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21.528.430-1</w:t>
            </w:r>
          </w:p>
          <w:p w:rsidR="00000000" w:rsidDel="00000000" w:rsidP="00000000" w:rsidRDefault="00000000" w:rsidRPr="00000000" w14:paraId="00000012">
            <w:pPr>
              <w:rPr>
                <w:b w:val="1"/>
                <w:bCs w:val="1"/>
              </w:rPr>
            </w:pPr>
            <w:r w:rsidDel="00000000" w:rsidR="00000000" w:rsidRPr="00000000">
              <w:rPr>
                <w:b w:val="1"/>
                <w:bCs w:val="1"/>
                <w:rtl w:val="0"/>
              </w:rPr>
              <w:t xml:space="preserve">26.001.954-6</w:t>
            </w:r>
          </w:p>
          <w:p w:rsidR="00000000" w:rsidDel="00000000" w:rsidP="00000000" w:rsidRDefault="00000000" w:rsidRPr="00000000" w14:paraId="00000013">
            <w:pPr>
              <w:rPr>
                <w:b w:val="1"/>
                <w:bCs w:val="1"/>
              </w:rPr>
            </w:pPr>
            <w:r w:rsidDel="00000000" w:rsidR="00000000" w:rsidRPr="00000000">
              <w:rPr>
                <w:b w:val="1"/>
                <w:bCs w:val="1"/>
                <w:rtl w:val="0"/>
              </w:rPr>
              <w:t xml:space="preserve">21.462.321-8</w:t>
            </w:r>
          </w:p>
        </w:tc>
      </w:tr>
      <w:tr>
        <w:trPr>
          <w:cantSplit w:val="0"/>
          <w:trHeight w:val="434.8152669270833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San Joaquín </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D">
            <w:pPr>
              <w:spacing w:after="60" w:before="0" w:lineRule="auto"/>
              <w:jc w:val="left"/>
              <w:rPr/>
            </w:pPr>
            <w:r w:rsidDel="00000000" w:rsidR="00000000" w:rsidRPr="00000000">
              <w:rPr>
                <w:i w:val="0"/>
                <w:iCs w:val="0"/>
                <w:color w:val="000000"/>
                <w:sz w:val="20"/>
                <w:szCs w:val="20"/>
                <w:rtl w:val="0"/>
              </w:rPr>
              <w:t xml:space="preserve">KONEA Focus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F">
            <w:pPr>
              <w:spacing w:after="60" w:before="0" w:lineRule="auto"/>
              <w:jc w:val="left"/>
              <w:rPr/>
            </w:pPr>
            <w:r w:rsidDel="00000000" w:rsidR="00000000" w:rsidRPr="00000000">
              <w:rPr>
                <w:i w:val="0"/>
                <w:iCs w:val="0"/>
                <w:color w:val="000000"/>
                <w:sz w:val="20"/>
                <w:szCs w:val="20"/>
                <w:rtl w:val="0"/>
              </w:rPr>
              <w:t xml:space="preserve">Desarrollo de software; arquitectura e integración de sistemas; bases de datos; aseguramiento de calidad y seguridad;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Competencias </w:t>
            </w:r>
          </w:p>
          <w:p w:rsidR="00000000" w:rsidDel="00000000" w:rsidP="00000000" w:rsidRDefault="00000000" w:rsidRPr="00000000" w14:paraId="00000021">
            <w:pPr>
              <w:rPr>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para construir modelos de datos para soportar los requerimientos de la organización acuerdo a un diseño definido y escalable en el tiempo.</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Programar consultas o rutinas para manipular información de una base de datos de acuerdo con los requerimientos de la organización.</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Realizar pruebas de calidad tanto de los productos como de los procesos utilizando buenas prácticas definidas por la industria.</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Implementar soluciones sistémicas integrales para automatizar u optimizar procesos de negocio de acuerdo con las necesidades de la organización.</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dos por la industria.</w:t>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Ofrecer propuestas de solución informática analizando de forma integral los procesos de acuerdo con los requerimientos de la organización.</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Desarrollar proyectos de emprendimiento a partir de la identificación de oportunidades desde su especialidad, aplicando técnicas afines al objetivo, con foco en agregar valor al entorno.</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jc w:val="both"/>
              <w:rPr>
                <w:rFonts w:ascii="Calibri" w:cs="Calibri" w:eastAsia="Calibri" w:hAnsi="Calibri"/>
              </w:rPr>
            </w:pPr>
            <w:r w:rsidDel="00000000" w:rsidR="00000000" w:rsidRPr="00000000">
              <w:rPr>
                <w:rFonts w:ascii="Calibri" w:cs="Calibri" w:eastAsia="Calibri" w:hAnsi="Calibri"/>
                <w:rtl w:val="0"/>
              </w:rPr>
              <w:t xml:space="preserve">Escogimos este tema porque representa una necesidad concreta y actual dentro del campo laboral de la Ingeniería en Informática: diseñar soluciones digitales que integren información, automaticen procesos y mejoren la experiencia de los usuarios mediante software útil, innovador y centrado en problemas reales. Además, este proyecto no solo aborda la organización académica, sino que agrega un valor diferenciador al incorporar un asistente de escritorio capaz de registrar sesiones de estudio, aplicar técnicas de concentración como Pomodoro y mostrar estadísticas sobre el tiempo dedicado a cada asignatura, combinando así planificación y seguimiento real del estudio.</w:t>
            </w:r>
          </w:p>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La problemática se sitúa principalmente en el contexto de estudiantes de educación superior, especialmente universitarios que deben organizar múltiples asignaturas, evaluaciones, proyectos y tiempos de estudio durante el semestre. Afecta directamente a estudiantes que requieren herramientas más integradas para gestionar su carga académica, pero también impacta indirectamente a instituciones educativas interesadas en modernizar la experiencia universitaria y fomentar una mejor autogestión del aprendizaje. En este sentido, el aporte de valor del proyecto consiste en ofrecer una solución tecnológica integral que permita centralizar asignaturas y actividades, registrar sesiones reales de estudio y entregar información útil para que el estudiante comprenda cómo distribuye su tiempo y tome mejores decisiones sobre su organización académica.</w:t>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jc w:val="both"/>
              <w:rPr>
                <w:rFonts w:ascii="Calibri" w:cs="Calibri" w:eastAsia="Calibri" w:hAnsi="Calibri"/>
              </w:rPr>
            </w:pPr>
            <w:r w:rsidDel="00000000" w:rsidR="00000000" w:rsidRPr="00000000">
              <w:rPr>
                <w:rFonts w:ascii="Calibri" w:cs="Calibri" w:eastAsia="Calibri" w:hAnsi="Calibri"/>
                <w:rtl w:val="0"/>
              </w:rPr>
              <w:t xml:space="preserve">El objetivo del proyecto es </w:t>
            </w:r>
            <w:r w:rsidDel="00000000" w:rsidR="00000000" w:rsidRPr="00000000">
              <w:rPr>
                <w:rFonts w:ascii="Calibri" w:cs="Calibri" w:eastAsia="Calibri" w:hAnsi="Calibri"/>
                <w:b w:val="1"/>
                <w:bCs w:val="1"/>
                <w:rtl w:val="0"/>
              </w:rPr>
              <w:t xml:space="preserve">desarrollar una solución de software integrada para apoyar la planificación y el seguimiento del estudio universitario</w:t>
            </w:r>
            <w:r w:rsidDel="00000000" w:rsidR="00000000" w:rsidRPr="00000000">
              <w:rPr>
                <w:rFonts w:ascii="Calibri" w:cs="Calibri" w:eastAsia="Calibri" w:hAnsi="Calibri"/>
                <w:rtl w:val="0"/>
              </w:rPr>
              <w:t xml:space="preserve">, permitiendo que los estudiantes organicen sus asignaturas y actividades académicas en una plataforma web, y al mismo tiempo registren sus sesiones reales de estudio a través de un asistente de escritorio.</w:t>
            </w:r>
          </w:p>
          <w:p w:rsidR="00000000" w:rsidDel="00000000" w:rsidP="00000000" w:rsidRDefault="00000000" w:rsidRPr="00000000" w14:paraId="00000037">
            <w:pPr>
              <w:rPr/>
            </w:pPr>
            <w:r w:rsidDel="00000000" w:rsidR="00000000" w:rsidRPr="00000000">
              <w:rPr>
                <w:rFonts w:ascii="Calibri" w:cs="Calibri" w:eastAsia="Calibri" w:hAnsi="Calibri"/>
                <w:rtl w:val="0"/>
              </w:rPr>
              <w:t xml:space="preserve">La solución propuesta, denominada </w:t>
            </w:r>
            <w:r w:rsidDel="00000000" w:rsidR="00000000" w:rsidRPr="00000000">
              <w:rPr>
                <w:rFonts w:ascii="Calibri" w:cs="Calibri" w:eastAsia="Calibri" w:hAnsi="Calibri"/>
                <w:b w:val="1"/>
                <w:bCs w:val="1"/>
                <w:rtl w:val="0"/>
              </w:rPr>
              <w:t xml:space="preserve">KONEA Focus</w:t>
            </w:r>
            <w:r w:rsidDel="00000000" w:rsidR="00000000" w:rsidRPr="00000000">
              <w:rPr>
                <w:rFonts w:ascii="Calibri" w:cs="Calibri" w:eastAsia="Calibri" w:hAnsi="Calibri"/>
                <w:rtl w:val="0"/>
              </w:rPr>
              <w:t xml:space="preserve">, estará compuesta por dos partes conectadas: una </w:t>
            </w:r>
            <w:r w:rsidDel="00000000" w:rsidR="00000000" w:rsidRPr="00000000">
              <w:rPr>
                <w:rFonts w:ascii="Calibri" w:cs="Calibri" w:eastAsia="Calibri" w:hAnsi="Calibri"/>
                <w:b w:val="1"/>
                <w:bCs w:val="1"/>
                <w:rtl w:val="0"/>
              </w:rPr>
              <w:t xml:space="preserve">aplicación web</w:t>
            </w:r>
            <w:r w:rsidDel="00000000" w:rsidR="00000000" w:rsidRPr="00000000">
              <w:rPr>
                <w:rFonts w:ascii="Calibri" w:cs="Calibri" w:eastAsia="Calibri" w:hAnsi="Calibri"/>
                <w:rtl w:val="0"/>
              </w:rPr>
              <w:t xml:space="preserve">, donde el usuario podrá gestionar sus asignaturas, actividades y próximas evaluaciones, y una </w:t>
            </w:r>
            <w:r w:rsidDel="00000000" w:rsidR="00000000" w:rsidRPr="00000000">
              <w:rPr>
                <w:rFonts w:ascii="Calibri" w:cs="Calibri" w:eastAsia="Calibri" w:hAnsi="Calibri"/>
                <w:b w:val="1"/>
                <w:bCs w:val="1"/>
                <w:rtl w:val="0"/>
              </w:rPr>
              <w:t xml:space="preserve">aplicación de escritorio</w:t>
            </w:r>
            <w:r w:rsidDel="00000000" w:rsidR="00000000" w:rsidRPr="00000000">
              <w:rPr>
                <w:rFonts w:ascii="Calibri" w:cs="Calibri" w:eastAsia="Calibri" w:hAnsi="Calibri"/>
                <w:rtl w:val="0"/>
              </w:rPr>
              <w:t xml:space="preserve">, desde la cual podrá iniciar sesiones de estudio, utilizar Pomodoro, visualizar un avatar interactivo y registrar el tiempo dedicado a cada asignatura. Al finalizar cada sesión, la información se sincronizará con la plataforma principal, permitiendo mostrar estadísticas e indicadores como horas dedicadas por ramo, cantidad de sesiones realizadas y distribución semanal del estudio. Esta propuesta toma como base la idea de centralización académica de KONEA y la complementa con las funciones de seguimiento del tiempo, avatar y análisis de patrones</w:t>
            </w:r>
            <w:r w:rsidDel="00000000" w:rsidR="00000000" w:rsidRPr="00000000">
              <w:rPr>
                <w:rtl w:val="0"/>
              </w:rPr>
              <w:t xml:space="preserve">.</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br w:type="textWrapping"/>
              <w:t xml:space="preserve">Considerando la duración del semestre y el alcance realista del Capstone, el proyecto se abordará como un </w:t>
            </w:r>
            <w:r w:rsidDel="00000000" w:rsidR="00000000" w:rsidRPr="00000000">
              <w:rPr>
                <w:rFonts w:ascii="Calibri" w:cs="Calibri" w:eastAsia="Calibri" w:hAnsi="Calibri"/>
                <w:b w:val="1"/>
                <w:bCs w:val="1"/>
                <w:rtl w:val="0"/>
              </w:rPr>
              <w:t xml:space="preserve">MVP funcional</w:t>
            </w:r>
            <w:r w:rsidDel="00000000" w:rsidR="00000000" w:rsidRPr="00000000">
              <w:rPr>
                <w:rFonts w:ascii="Calibri" w:cs="Calibri" w:eastAsia="Calibri" w:hAnsi="Calibri"/>
                <w:rtl w:val="0"/>
              </w:rPr>
              <w:t xml:space="preserve">, centrado en las características esenciales: gestión de asignaturas, registro de actividades académicas, sesiones de estudio, Pomodoro, sincronización de datos y visualización básica de estadísticas. De esta manera, se busca garantizar un producto completo, coherente y demostrable al final del curso, evitando una sobrecarga de funcionalidades que comprometa la calidad de la implementación.</w:t>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spacing w:after="60" w:before="0" w:lineRule="auto"/>
              <w:jc w:val="both"/>
              <w:rPr/>
            </w:pPr>
            <w:r w:rsidDel="00000000" w:rsidR="00000000" w:rsidRPr="00000000">
              <w:rPr>
                <w:rFonts w:ascii="Calibri" w:cs="Calibri" w:eastAsia="Calibri" w:hAnsi="Calibri"/>
                <w:b w:val="0"/>
                <w:bCs w:val="0"/>
                <w:color w:val="000000"/>
                <w:rtl w:val="0"/>
              </w:rPr>
              <w:t xml:space="preserve">KONEA Focus se relaciona directamente con el perfil de egreso de Ingeniería en Informática, ya que exige analizar una problemática real, diseñar una solución tecnológica integral y desarrollar un producto de software completo utilizando criterios de arquitectura, escalabilidad, seguridad, calidad y usabilidad. El proyecto integra una aplicación web, un cliente de escritorio, una API y un modelo de datos común, por lo que requiere aplicar de manera transversal conocimientos adquiridos durante la carrera.</w:t>
            </w:r>
            <w:r w:rsidDel="00000000" w:rsidR="00000000" w:rsidRPr="00000000">
              <w:rPr>
                <w:rtl w:val="0"/>
              </w:rPr>
            </w:r>
          </w:p>
          <w:p w:rsidR="00000000" w:rsidDel="00000000" w:rsidP="00000000" w:rsidRDefault="00000000" w:rsidRPr="00000000" w14:paraId="0000003B">
            <w:pPr>
              <w:spacing w:after="60" w:before="0" w:lineRule="auto"/>
              <w:jc w:val="both"/>
              <w:rPr/>
            </w:pPr>
            <w:r w:rsidDel="00000000" w:rsidR="00000000" w:rsidRPr="00000000">
              <w:rPr>
                <w:rFonts w:ascii="Calibri" w:cs="Calibri" w:eastAsia="Calibri" w:hAnsi="Calibri"/>
                <w:b w:val="0"/>
                <w:bCs w:val="0"/>
                <w:color w:val="000000"/>
                <w:rtl w:val="0"/>
              </w:rPr>
              <w:t xml:space="preserve">Las competencias seleccionadas son necesarias para resolver la problemática propuesta porque permiten diseñar el modelo arquitectónico y de datos, construir y consumir servicios de aplicación, programar las funcionalidades del sistema, administrar la persistencia de información y realizar pruebas de calidad. Asimismo, la comunicación entre KONEA y</w:t>
            </w:r>
            <w:r w:rsidDel="00000000" w:rsidR="00000000" w:rsidRPr="00000000">
              <w:rPr>
                <w:rtl w:val="0"/>
              </w:rPr>
              <w:t xml:space="preserve"> la aplicación de escritorio</w:t>
            </w:r>
            <w:r w:rsidDel="00000000" w:rsidR="00000000" w:rsidRPr="00000000">
              <w:rPr>
                <w:rFonts w:ascii="Calibri" w:cs="Calibri" w:eastAsia="Calibri" w:hAnsi="Calibri"/>
                <w:b w:val="0"/>
                <w:bCs w:val="0"/>
                <w:color w:val="000000"/>
                <w:rtl w:val="0"/>
              </w:rPr>
              <w:t xml:space="preserve"> exige aplicar buenas prácticas de integración y seguridad, mientras que la planificación del trabajo, el control de versiones y la definición de entregables permiten demostrar competencias de gestión de proyectos informáticos. De esta forma, el proyecto evidencia capacidades técnicas y metodológicas propias del ejercicio profesional de un Ingeniero en Informática.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spacing w:after="60" w:before="0" w:lineRule="auto"/>
              <w:jc w:val="both"/>
              <w:rPr/>
            </w:pPr>
            <w:r w:rsidDel="00000000" w:rsidR="00000000" w:rsidRPr="00000000">
              <w:rPr>
                <w:rFonts w:ascii="Calibri" w:cs="Calibri" w:eastAsia="Calibri" w:hAnsi="Calibri"/>
                <w:b w:val="0"/>
                <w:bCs w:val="0"/>
                <w:color w:val="000000"/>
                <w:rtl w:val="0"/>
              </w:rPr>
              <w:t xml:space="preserve">Como equipo, nuestros intereses profesionales se relacionan con el desarrollo de software, la creación de aplicaciones web y de escritorio, el diseño de arquitecturas, el manejo de bases de datos y la construcción de productos digitales centrados en las necesidades de los usuarios. KONEA Focus permite reunir estas áreas dentro de una solución única, en la que cada integrante puede profundizar en una especialidad y, al mismo tiempo, participar en la integración global del sistema.</w:t>
            </w:r>
            <w:r w:rsidDel="00000000" w:rsidR="00000000" w:rsidRPr="00000000">
              <w:rPr>
                <w:rtl w:val="0"/>
              </w:rPr>
            </w:r>
          </w:p>
          <w:p w:rsidR="00000000" w:rsidDel="00000000" w:rsidP="00000000" w:rsidRDefault="00000000" w:rsidRPr="00000000" w14:paraId="0000003E">
            <w:pPr>
              <w:spacing w:after="60" w:before="0" w:lineRule="auto"/>
              <w:jc w:val="both"/>
              <w:rPr/>
            </w:pPr>
            <w:r w:rsidDel="00000000" w:rsidR="00000000" w:rsidRPr="00000000">
              <w:rPr>
                <w:rFonts w:ascii="Calibri" w:cs="Calibri" w:eastAsia="Calibri" w:hAnsi="Calibri"/>
                <w:b w:val="0"/>
                <w:bCs w:val="0"/>
                <w:color w:val="000000"/>
                <w:rtl w:val="0"/>
              </w:rPr>
              <w:t xml:space="preserve">El proyecto refleja especialmente nuestro interés por desarrollar soluciones completas y no solamente funcionalidades aisladas. La combinación entre una plataforma web académica y un asistente de escritorio permite trabajar con frontend, backend, persistencia, APIs, experiencia de usuario, pruebas y despliegue. Su realización contribuirá a nuestro desarrollo profesional al fortalecer el trabajo colaborativo con Git y GitHub, la toma de decisiones técnicas, la documentación de arquitectura, la resolución de problemas de integración y la construcción de un producto demostrable que puede formar parte de nuestro portafolio profesional.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spacing w:after="60" w:before="0" w:lineRule="auto"/>
              <w:jc w:val="both"/>
              <w:rPr/>
            </w:pPr>
            <w:r w:rsidDel="00000000" w:rsidR="00000000" w:rsidRPr="00000000">
              <w:rPr>
                <w:rFonts w:ascii="Calibri" w:cs="Calibri" w:eastAsia="Calibri" w:hAnsi="Calibri"/>
                <w:b w:val="0"/>
                <w:bCs w:val="0"/>
                <w:color w:val="000000"/>
                <w:rtl w:val="0"/>
              </w:rPr>
              <w:t xml:space="preserve">El desarrollo de KONEA Focus es factible dentro del semestre porque el alcance se ha reducido a un MVP funcional y demostrable. Durante las primeras cuatro semanas se definirá el problema, la arquitectura, el modelo de datos, los prototipos y el plan de trabajo; posteriormente se concentrará el desarrollo en las funciones esenciales: gestión de asignaturas y actividades, sesiones de estudio, Pomodoro, avatar básico, sincronización y estadísticas. Se evitará incorporar durante el semestre funcionalidades de mayor riesgo como integración real con sistemas institucionales, redes sociales universitarias, aprendizaje automático o interoperabilidad entre universidades.</w:t>
            </w:r>
            <w:r w:rsidDel="00000000" w:rsidR="00000000" w:rsidRPr="00000000">
              <w:rPr>
                <w:rtl w:val="0"/>
              </w:rPr>
            </w:r>
          </w:p>
          <w:p w:rsidR="00000000" w:rsidDel="00000000" w:rsidP="00000000" w:rsidRDefault="00000000" w:rsidRPr="00000000" w14:paraId="00000041">
            <w:pPr>
              <w:spacing w:after="60" w:before="0" w:lineRule="auto"/>
              <w:jc w:val="both"/>
              <w:rPr>
                <w:color w:val="ff0000"/>
              </w:rPr>
            </w:pPr>
            <w:r w:rsidDel="00000000" w:rsidR="00000000" w:rsidRPr="00000000">
              <w:rPr>
                <w:rFonts w:ascii="Calibri" w:cs="Calibri" w:eastAsia="Calibri" w:hAnsi="Calibri"/>
                <w:b w:val="0"/>
                <w:bCs w:val="0"/>
                <w:color w:val="ff0000"/>
                <w:rtl w:val="0"/>
              </w:rPr>
              <w:t xml:space="preserve">Los materiales requeridos son accesibles para el equipo: computadores personales, conexión a Internet, GitHub y herramientas de desarrollo con licencias gratuitas o de código abierto. Se utilizarán tecnologías conocidas o ampliamente documentadas, como React, Electron, una API REST, PostgreSQL, SQLite, Git y Docker/Docker Compose. El equipo de tres integrantes permite distribuir responsabilidades entre backend e integración, plataforma web y aplicación de escritorio, manteniendo actividades de pruebas y documentación compartidas.</w:t>
            </w:r>
            <w:r w:rsidDel="00000000" w:rsidR="00000000" w:rsidRPr="00000000">
              <w:rPr>
                <w:rtl w:val="0"/>
              </w:rPr>
            </w:r>
          </w:p>
          <w:p w:rsidR="00000000" w:rsidDel="00000000" w:rsidP="00000000" w:rsidRDefault="00000000" w:rsidRPr="00000000" w14:paraId="00000042">
            <w:pPr>
              <w:spacing w:after="60" w:before="0" w:lineRule="auto"/>
              <w:jc w:val="both"/>
              <w:rPr>
                <w:color w:val="ff0000"/>
              </w:rPr>
            </w:pPr>
            <w:r w:rsidDel="00000000" w:rsidR="00000000" w:rsidRPr="00000000">
              <w:rPr>
                <w:rFonts w:ascii="Calibri" w:cs="Calibri" w:eastAsia="Calibri" w:hAnsi="Calibri"/>
                <w:b w:val="0"/>
                <w:bCs w:val="0"/>
                <w:color w:val="ff0000"/>
                <w:rtl w:val="0"/>
              </w:rPr>
              <w:t xml:space="preserve">Los principales factores que podrían dificultar el desarrollo son la integración entre la aplicación web y FocusBuddy, el aprendizaje de herramientas nuevas, errores de sincronización y el crecimiento no controlado del alcance. Para reducir estos riesgos se trabajará de forma incremental, con un backlog priorizado, entregas periódicas y un hito de integración temprana antes del informe de avance. Además, los datos académicos serán ingresados manualmente en el MVP para no depender de APIs o permisos externos de instituciones, y se reservarán las últimas semanas de desarrollo para pruebas, corrección de errores, Docker, documentación y preparación de la entrega final.</w:t>
            </w:r>
            <w:r w:rsidDel="00000000" w:rsidR="00000000" w:rsidRPr="00000000">
              <w:rPr>
                <w:rtl w:val="0"/>
              </w:rPr>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spacing w:after="0" w:before="0" w:lineRule="auto"/>
              <w:jc w:val="both"/>
              <w:rPr/>
            </w:pPr>
            <w:r w:rsidDel="00000000" w:rsidR="00000000" w:rsidRPr="00000000">
              <w:rPr>
                <w:rFonts w:ascii="Calibri" w:cs="Calibri" w:eastAsia="Calibri" w:hAnsi="Calibri"/>
                <w:b w:val="0"/>
                <w:bCs w:val="0"/>
                <w:i w:val="0"/>
                <w:iCs w:val="0"/>
                <w:color w:val="000000"/>
                <w:rtl w:val="0"/>
              </w:rPr>
              <w:t xml:space="preserve">Desarrollar una solución de software integrada que permita a estudiantes de educación superior planificar sus actividades académicas, registrar sus sesiones de estudio mediante un asistente de escritorio y visualizar información sobre la distribución de su tiempo, con el fin de apoyar su organización y autogestión académica.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spacing w:after="0" w:before="0" w:lineRule="auto"/>
              <w:jc w:val="both"/>
              <w:rPr/>
            </w:pPr>
            <w:r w:rsidDel="00000000" w:rsidR="00000000" w:rsidRPr="00000000">
              <w:rPr>
                <w:rFonts w:ascii="Calibri" w:cs="Calibri" w:eastAsia="Calibri" w:hAnsi="Calibri"/>
                <w:b w:val="0"/>
                <w:bCs w:val="0"/>
                <w:i w:val="0"/>
                <w:iCs w:val="0"/>
                <w:color w:val="000000"/>
                <w:rtl w:val="0"/>
              </w:rPr>
              <w:t xml:space="preserve">1. Diseñar e implementar una plataforma web para gestionar asignaturas, actividades académicas y fechas relevantes del estudiante.</w:t>
              <w:br w:type="textWrapping"/>
              <w:t xml:space="preserve">2. Desarrollar una aplicación de escritorio integrada que permita realizar sesiones de estudio, utilizar Pomodoro y representar el estado de la sesión mediante un avatar interactivo.</w:t>
              <w:br w:type="textWrapping"/>
              <w:t xml:space="preserve">3. Implementar una API y un modelo de datos escalable que permitan sincronizar la información académica y las sesiones de estudio entre los componentes del sistema.</w:t>
              <w:br w:type="textWrapping"/>
              <w:t xml:space="preserve">4. Implementar un dashboard con estadísticas básicas de tiempo de estudio, sesiones realizadas y distribución del esfuerzo por asignatura.</w:t>
              <w:br w:type="textWrapping"/>
              <w:t xml:space="preserve">5. Validar la solución mediante pruebas funcionales, de integración y calidad, documentar su arquitectura y desplegar el backend mediante Docker/Docker Compose.</w:t>
            </w:r>
            <w:r w:rsidDel="00000000" w:rsidR="00000000" w:rsidRPr="00000000">
              <w:rPr>
                <w:rtl w:val="0"/>
              </w:rPr>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vAlign w:val="center"/>
          </w:tcPr>
          <w:p w:rsidR="00000000" w:rsidDel="00000000" w:rsidP="00000000" w:rsidRDefault="00000000" w:rsidRPr="00000000" w14:paraId="00000052">
            <w:pPr>
              <w:spacing w:after="60" w:before="0" w:lineRule="auto"/>
              <w:jc w:val="both"/>
              <w:rPr/>
            </w:pPr>
            <w:r w:rsidDel="00000000" w:rsidR="00000000" w:rsidRPr="00000000">
              <w:rPr>
                <w:rFonts w:ascii="Calibri" w:cs="Calibri" w:eastAsia="Calibri" w:hAnsi="Calibri"/>
                <w:b w:val="0"/>
                <w:bCs w:val="0"/>
                <w:i w:val="0"/>
                <w:iCs w:val="0"/>
                <w:color w:val="000000"/>
                <w:rtl w:val="0"/>
              </w:rPr>
              <w:t xml:space="preserve">El proyecto se desarrollará utilizando una metodología ágil basada en Scrum, adaptada a la duración del semestre. Durante la Fase 1 se realizará el levantamiento de la problemática, definición del alcance del MVP, priorización del Product Backlog, diseño de prototipos, arquitectura, modelo de datos y planificación. Durante la Fase 2 se trabajará en iteraciones cortas, priorizando primero la arquitectura base y la integración entre componentes y posteriormente las funcionalidades de mayor valor. Cada iteración finalizará con una revisión del incremento, actualización del repositorio y registro de tareas pendientes. Las últimas semanas de desarrollo se destinarán a pruebas, corrección de errores, containerización y documentación, evitando incorporar nuevas funcionalidades después del cierre técnico del MVP.</w:t>
            </w:r>
            <w:r w:rsidDel="00000000" w:rsidR="00000000" w:rsidRPr="00000000">
              <w:rPr>
                <w:rtl w:val="0"/>
              </w:rPr>
            </w:r>
          </w:p>
          <w:p w:rsidR="00000000" w:rsidDel="00000000" w:rsidP="00000000" w:rsidRDefault="00000000" w:rsidRPr="00000000" w14:paraId="00000053">
            <w:pPr>
              <w:spacing w:after="60" w:before="0" w:lineRule="auto"/>
              <w:jc w:val="both"/>
              <w:rPr>
                <w:color w:val="ff0000"/>
              </w:rPr>
            </w:pPr>
            <w:r w:rsidDel="00000000" w:rsidR="00000000" w:rsidRPr="00000000">
              <w:rPr>
                <w:rFonts w:ascii="Calibri" w:cs="Calibri" w:eastAsia="Calibri" w:hAnsi="Calibri"/>
                <w:b w:val="0"/>
                <w:bCs w:val="0"/>
                <w:i w:val="0"/>
                <w:iCs w:val="0"/>
                <w:color w:val="000000"/>
                <w:rtl w:val="0"/>
              </w:rPr>
              <w:t xml:space="preserve">El equipo utilizará GitHub como repositorio público y mecanismo de seguimiento, empleando ramas por funcionalidad, pull requests y revisión de cambios. El backlog se organizará por historias de usuario y criterios de aceptación, y las pruebas se incorporarán progresivamente para evitar concentrarlas al final del semestre. La comunicación entre KONEA Web, la API </w:t>
            </w:r>
            <w:r w:rsidDel="00000000" w:rsidR="00000000" w:rsidRPr="00000000">
              <w:rPr>
                <w:rtl w:val="0"/>
              </w:rPr>
              <w:t xml:space="preserve">y </w:t>
            </w:r>
            <w:r w:rsidDel="00000000" w:rsidR="00000000" w:rsidRPr="00000000">
              <w:rPr>
                <w:color w:val="ff0000"/>
                <w:rtl w:val="0"/>
              </w:rPr>
              <w:t xml:space="preserve">la aplicación de escritorio</w:t>
            </w:r>
            <w:r w:rsidDel="00000000" w:rsidR="00000000" w:rsidRPr="00000000">
              <w:rPr>
                <w:rFonts w:ascii="Calibri" w:cs="Calibri" w:eastAsia="Calibri" w:hAnsi="Calibri"/>
                <w:b w:val="0"/>
                <w:bCs w:val="0"/>
                <w:i w:val="0"/>
                <w:iCs w:val="0"/>
                <w:color w:val="ff0000"/>
                <w:rtl w:val="0"/>
              </w:rPr>
              <w:t xml:space="preserve"> se definirá mediante contratos de servicios REST, manteniendo PostgreSQL como persistencia principal y SQLite únicamente como almacenamiento local de apoyo para el cliente de escritorio.</w:t>
            </w:r>
            <w:r w:rsidDel="00000000" w:rsidR="00000000" w:rsidRPr="00000000">
              <w:rPr>
                <w:rtl w:val="0"/>
              </w:rPr>
            </w:r>
          </w:p>
          <w:p w:rsidR="00000000" w:rsidDel="00000000" w:rsidP="00000000" w:rsidRDefault="00000000" w:rsidRPr="00000000" w14:paraId="00000054">
            <w:pPr>
              <w:spacing w:after="60" w:before="0" w:lineRule="auto"/>
              <w:jc w:val="both"/>
              <w:rPr/>
            </w:pPr>
            <w:r w:rsidDel="00000000" w:rsidR="00000000" w:rsidRPr="00000000">
              <w:rPr>
                <w:rFonts w:ascii="Calibri" w:cs="Calibri" w:eastAsia="Calibri" w:hAnsi="Calibri"/>
                <w:b w:val="0"/>
                <w:bCs w:val="0"/>
                <w:i w:val="0"/>
                <w:iCs w:val="0"/>
                <w:color w:val="000000"/>
                <w:rtl w:val="0"/>
              </w:rPr>
              <w:t xml:space="preserve">Responsabilidades principales: Oscar Callejas estará a cargo del backend, API, modelo de datos, seguridad, integración y Docker; Danae Muñoz se enfocará en KONEA Web, experiencia de usuario, gestión académica y dashboard; Hilary Torres estará a cargo de</w:t>
            </w:r>
            <w:r w:rsidDel="00000000" w:rsidR="00000000" w:rsidRPr="00000000">
              <w:rPr>
                <w:rtl w:val="0"/>
              </w:rPr>
              <w:t xml:space="preserve"> la aplicación de </w:t>
            </w:r>
            <w:r w:rsidDel="00000000" w:rsidR="00000000" w:rsidRPr="00000000">
              <w:rPr>
                <w:rFonts w:ascii="Calibri" w:cs="Calibri" w:eastAsia="Calibri" w:hAnsi="Calibri"/>
                <w:b w:val="0"/>
                <w:bCs w:val="0"/>
                <w:i w:val="0"/>
                <w:iCs w:val="0"/>
                <w:color w:val="000000"/>
                <w:rtl w:val="0"/>
              </w:rPr>
              <w:t xml:space="preserve">Desktop, temporizador/Pomodoro, detección de actividad y avatar. La integración, pruebas, documentación, gestión del repositorio y preparación de la presentación final serán responsabilidades compartidas por los tres integrantes.</w:t>
            </w: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rPr>
      </w:pPr>
      <w:r w:rsidDel="00000000" w:rsidR="00000000" w:rsidRPr="00000000">
        <w:rPr>
          <w:rtl w:val="0"/>
        </w:rPr>
      </w:r>
    </w:p>
    <w:p w:rsidR="00000000" w:rsidDel="00000000" w:rsidP="00000000" w:rsidRDefault="00000000" w:rsidRPr="00000000" w14:paraId="00000056">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(avance o final)</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Nombre de la evidencia</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Descripción</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Justificación</w:t>
            </w:r>
          </w:p>
        </w:tc>
      </w:tr>
      <w:tr>
        <w:trPr>
          <w:cantSplit w:val="0"/>
          <w:trHeight w:val="362" w:hRule="atLeast"/>
          <w:tblHeader w:val="0"/>
        </w:trPr>
        <w:tc>
          <w:tcPr>
            <w:tcMar>
              <w:top w:w="45.0" w:type="dxa"/>
              <w:bottom w:w="45.0" w:type="dxa"/>
            </w:tcMar>
            <w:vAlign w:val="center"/>
          </w:tcPr>
          <w:p w:rsidR="00000000" w:rsidDel="00000000" w:rsidP="00000000" w:rsidRDefault="00000000" w:rsidRPr="00000000" w14:paraId="0000005F">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Avance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0">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Repositorio y arquitectura inicial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1">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Repositorio GitHub público con README, backlog, estructura de ramas, arquitectura inicial, modelo de datos, diagramas UML clave y base de los componentes Web, API y Desktop.</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2">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Permite evidenciar planificación, diseño técnico, control de versiones y una base implementada antes de la etapa de integración.</w:t>
            </w:r>
            <w:r w:rsidDel="00000000" w:rsidR="00000000" w:rsidRPr="00000000">
              <w:rPr>
                <w:rtl w:val="0"/>
              </w:rPr>
            </w:r>
          </w:p>
        </w:tc>
      </w:tr>
      <w:tr>
        <w:trPr>
          <w:cantSplit w:val="0"/>
          <w:trHeight w:val="362" w:hRule="atLeast"/>
          <w:tblHeader w:val="0"/>
        </w:trPr>
        <w:tc>
          <w:tcPr>
            <w:tcMar>
              <w:top w:w="45.0" w:type="dxa"/>
              <w:bottom w:w="45.0" w:type="dxa"/>
            </w:tcMar>
            <w:vAlign w:val="center"/>
          </w:tcPr>
          <w:p w:rsidR="00000000" w:rsidDel="00000000" w:rsidP="00000000" w:rsidRDefault="00000000" w:rsidRPr="00000000" w14:paraId="00000063">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Avance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4">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MVP integrado parcial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5">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Incremento funcional que permita crear o visualizar asignaturas, iniciar y finalizar una sesión desde FocusBuddy y registrar/sincronizar la sesión mediante la API, acompañado de pruebas iniciales.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6">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Demuestra que los componentes principales se comunican de extremo a extremo y reduce el riesgo técnico antes de continuar con funcionalidades secundarias.</w:t>
            </w:r>
            <w:r w:rsidDel="00000000" w:rsidR="00000000" w:rsidRPr="00000000">
              <w:rPr>
                <w:rtl w:val="0"/>
              </w:rPr>
            </w:r>
          </w:p>
        </w:tc>
      </w:tr>
      <w:tr>
        <w:trPr>
          <w:cantSplit w:val="0"/>
          <w:trHeight w:val="362" w:hRule="atLeast"/>
          <w:tblHeader w:val="0"/>
        </w:trPr>
        <w:tc>
          <w:tcPr>
            <w:tcMar>
              <w:top w:w="45.0" w:type="dxa"/>
              <w:bottom w:w="45.0" w:type="dxa"/>
            </w:tcMar>
            <w:vAlign w:val="center"/>
          </w:tcPr>
          <w:p w:rsidR="00000000" w:rsidDel="00000000" w:rsidP="00000000" w:rsidRDefault="00000000" w:rsidRPr="00000000" w14:paraId="00000067">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Final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8">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Producto de software integrado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9">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Versión final de KONEA Focus con aplicación web, backend, base de datos y cliente FocusBuddy integrados; gestión académica básica, sesiones de estudio, Pomodoro, avatar básico, sincronización y dashboard estadístico.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A">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Evidencia el cumplimiento del objetivo general mediante un producto completo, funcional y demostrable.</w:t>
            </w:r>
            <w:r w:rsidDel="00000000" w:rsidR="00000000" w:rsidRPr="00000000">
              <w:rPr>
                <w:rtl w:val="0"/>
              </w:rPr>
            </w:r>
          </w:p>
        </w:tc>
      </w:tr>
      <w:tr>
        <w:trPr>
          <w:cantSplit w:val="0"/>
          <w:trHeight w:val="362" w:hRule="atLeast"/>
          <w:tblHeader w:val="0"/>
        </w:trPr>
        <w:tc>
          <w:tcPr>
            <w:tcMar>
              <w:top w:w="45.0" w:type="dxa"/>
              <w:bottom w:w="45.0" w:type="dxa"/>
            </w:tcMar>
            <w:vAlign w:val="center"/>
          </w:tcPr>
          <w:p w:rsidR="00000000" w:rsidDel="00000000" w:rsidP="00000000" w:rsidRDefault="00000000" w:rsidRPr="00000000" w14:paraId="0000006B">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Final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C">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Evidencia técnica, pruebas y despliegue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D">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Informe final, diagramas UML y ER actualizados, plan y resultados de pruebas, documentación de API, instrucciones de instalación, Docker/Docker Compose para los componentes de servidor y evidencias de funcionamiento.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E">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Permite verificar calidad, arquitectura, trazabilidad del desarrollo, reproducibilidad del despliegue y cumplimiento de los requisitos técnicos de Capstone.</w:t>
            </w: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1"/>
        </w:trPr>
        <w:tc>
          <w:tcPr>
            <w:gridSpan w:val="7"/>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1"/>
        </w:trPr>
        <w:tc>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1"/>
          <w:tblHeader w:val="0"/>
        </w:trPr>
        <w:tc>
          <w:tcPr>
            <w:tcMar>
              <w:top w:w="15.0" w:type="dxa"/>
              <w:bottom w:w="15.0" w:type="dxa"/>
            </w:tcMar>
            <w:vAlign w:val="center"/>
          </w:tcPr>
          <w:p w:rsidR="00000000" w:rsidDel="00000000" w:rsidP="00000000" w:rsidRDefault="00000000" w:rsidRPr="00000000" w14:paraId="00000082">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Propuesta integral; gestión de proyectos; arquitectura</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3">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Definición y alcance</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4">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Validar problemática, usuarios, alcance del MVP, objetivos, historias de usuario y criterios de aceptación.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5">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Guía APT, GitHub, entrevistas/encuesta, herramientas de prototipado</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86">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1-2</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87">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8">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Riesgo de sobrealcance; se priorizará el flujo mínimo completo.</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89">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Arquitectura; modelos de datos; gestión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A">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Diseño técnico y planificación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B">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Definir arquitectura, ER, UML, contratos API, prototipos, backlog y planificación del semestre.</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C">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Draw.io/PlantUML, Figma, GitHub Projects, documentación técnica</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8D">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2-4</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8E">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8F">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Debe quedar cerrado antes de iniciar desarrollo intensivo.</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90">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Modelos de datos; programación; seguridad</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1">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Backend, API y base de datos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2">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Implementar autenticación, usuarios, asignaturas, actividades, sesiones y persistencia principal.</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3">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Java/.NET, PostgreSQL, REST, GitHub</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94">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5-7</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95">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Oscar Callejas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6">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Definir contratos API tempranamente para permitir trabajo paralelo.</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97">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Programación; solución sistémica</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8">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KONEA Web</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9">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Implementar interfaz web para login, asignaturas, actividades, planificación e interacción con la API.</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A">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React, API REST, prototipos UI</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9B">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6-8</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9C">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Danae Muñoz</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D">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Priorizar funcionalidad sobre características visuales secundarias.</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9E">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Programación; solución sistémica</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9F">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FocusBuddy Desktop</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0">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Implementar cliente Electron, sesiones, Pomodoro, estados básicos del avatar y conexión con la API.</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1">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Electron, React, SQLite, sprites</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A2">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6-8</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A3">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Hilary Torres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4">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Mantener solo estados esenciales del avatar en el MVP.</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A5">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Arquitectura; integración; calidad</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6">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Integración MVP</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7">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Integrar Web, API y FocusBuddy para completar el flujo asignatura -&gt; sesión -&gt; sincronización.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8">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Entornos locales, API, GitHub, herramientas de prueba</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A9">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8-9</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AA">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B">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Hito obligatorio para el Informe de Avance.</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AC">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Consultas/rutinas; programación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D">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Dashboard y estadísticas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E">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Implementar horas por asignatura, sesiones semanales, comparaciones básicas e historial.</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AF">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React, consultas SQL, librería de gráficos</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B0">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10-11</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B1">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Danae / Oscar</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2">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Sin machine learning; se utilizarán métricas descriptivas y reglas simples.</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B3">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Pruebas; seguridad; administración de ambientes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4">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Calidad, seguridad y Docker</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5">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Ejecutar pruebas unitarias, integración y E2E; revisar seguridad y containerizar Web/API/PostgreSQL.</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6">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Frameworks de test, Docker, Docker Compose, GitHub</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B7">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11-13</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B8">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Oscar / 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9">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Corregir defectos críticos antes del cierre técnico.</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BA">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Gestión; pruebas; propuesta integral</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B">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Estabilización y entrega final</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C">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Congelar funcionalidades, corregir errores, actualizar UML/ER, README, informe final y evidencias.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BD">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GitHub, documentación, suite de pruebas</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BE">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13-15</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BF">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C0">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 14 debe existir un producto terminado; semana 15 se usa como margen de corrección.</w:t>
            </w:r>
            <w:r w:rsidDel="00000000" w:rsidR="00000000" w:rsidRPr="00000000">
              <w:rPr>
                <w:rtl w:val="0"/>
              </w:rPr>
            </w:r>
          </w:p>
        </w:tc>
      </w:tr>
      <w:tr>
        <w:trPr>
          <w:cantSplit w:val="1"/>
          <w:tblHeader w:val="0"/>
        </w:trPr>
        <w:tc>
          <w:tcPr>
            <w:tcMar>
              <w:top w:w="15.0" w:type="dxa"/>
              <w:bottom w:w="15.0" w:type="dxa"/>
            </w:tcMar>
            <w:vAlign w:val="center"/>
          </w:tcPr>
          <w:p w:rsidR="00000000" w:rsidDel="00000000" w:rsidP="00000000" w:rsidRDefault="00000000" w:rsidRPr="00000000" w14:paraId="000000C1">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Comunicación; gestión de proyectos</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C2">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Preparación de defensa</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C3">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Preparar demostración, presentación, distribución de exposición y respuestas técnicas para comisión.</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C4">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Proyecto final, presentación, evidencias y documentación</w:t>
            </w:r>
            <w:r w:rsidDel="00000000" w:rsidR="00000000" w:rsidRPr="00000000">
              <w:rPr>
                <w:rtl w:val="0"/>
              </w:rPr>
            </w:r>
          </w:p>
        </w:tc>
        <w:tc>
          <w:tcPr>
            <w:tcBorders>
              <w:right w:color="ffffff" w:space="0" w:sz="4" w:val="single"/>
            </w:tcBorders>
            <w:tcMar>
              <w:top w:w="15.0" w:type="dxa"/>
              <w:bottom w:w="15.0" w:type="dxa"/>
            </w:tcMar>
            <w:vAlign w:val="center"/>
          </w:tcPr>
          <w:p w:rsidR="00000000" w:rsidDel="00000000" w:rsidP="00000000" w:rsidRDefault="00000000" w:rsidRPr="00000000" w14:paraId="000000C5">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Semanas 16-18</w:t>
            </w:r>
            <w:r w:rsidDel="00000000" w:rsidR="00000000" w:rsidRPr="00000000">
              <w:rPr>
                <w:rtl w:val="0"/>
              </w:rPr>
            </w:r>
          </w:p>
        </w:tc>
        <w:tc>
          <w:tcPr>
            <w:tcBorders>
              <w:left w:color="ffffff" w:space="0" w:sz="4" w:val="single"/>
            </w:tcBorders>
            <w:shd w:fill="d9d9d9" w:val="clear"/>
            <w:tcMar>
              <w:top w:w="15.0" w:type="dxa"/>
              <w:bottom w:w="15.0" w:type="dxa"/>
            </w:tcMar>
            <w:vAlign w:val="center"/>
          </w:tcPr>
          <w:p w:rsidR="00000000" w:rsidDel="00000000" w:rsidP="00000000" w:rsidRDefault="00000000" w:rsidRPr="00000000" w14:paraId="000000C6">
            <w:pPr>
              <w:spacing w:after="0" w:before="0" w:lineRule="auto"/>
              <w:jc w:val="left"/>
              <w:rPr/>
            </w:pPr>
            <w:r w:rsidDel="00000000" w:rsidR="00000000" w:rsidRPr="00000000">
              <w:rPr>
                <w:rFonts w:ascii="Calibri" w:cs="Calibri" w:eastAsia="Calibri" w:hAnsi="Calibri"/>
                <w:b w:val="1"/>
                <w:bCs w:val="1"/>
                <w:i w:val="0"/>
                <w:iCs w:val="0"/>
                <w:color w:val="000000"/>
                <w:rtl w:val="0"/>
              </w:rPr>
              <w:t xml:space="preserve">Todo el equipo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C7">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Ensayar demo con datos controlados y plan de contingencia.</w:t>
            </w:r>
            <w:r w:rsidDel="00000000" w:rsidR="00000000" w:rsidRPr="00000000">
              <w:rPr>
                <w:rtl w:val="0"/>
              </w:rPr>
            </w:r>
          </w:p>
        </w:tc>
      </w:tr>
    </w:tbl>
    <w:p w:rsidR="00000000" w:rsidDel="00000000" w:rsidP="00000000" w:rsidRDefault="00000000" w:rsidRPr="00000000" w14:paraId="000000C8">
      <w:pPr>
        <w:spacing w:after="0" w:line="360" w:lineRule="auto"/>
        <w:jc w:val="both"/>
        <w:rPr>
          <w:b w:val="1"/>
          <w:bCs w:val="1"/>
        </w:rPr>
      </w:pP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6"/>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450"/>
        <w:gridCol w:w="450"/>
        <w:gridCol w:w="450"/>
        <w:gridCol w:w="450"/>
        <w:gridCol w:w="450"/>
        <w:gridCol w:w="450"/>
        <w:gridCol w:w="450"/>
        <w:gridCol w:w="450"/>
        <w:gridCol w:w="450"/>
        <w:gridCol w:w="450"/>
        <w:gridCol w:w="450"/>
        <w:gridCol w:w="450"/>
        <w:gridCol w:w="450"/>
        <w:gridCol w:w="450"/>
        <w:gridCol w:w="450"/>
        <w:gridCol w:w="450"/>
        <w:gridCol w:w="450"/>
        <w:gridCol w:w="450"/>
        <w:tblGridChange w:id="0">
          <w:tblGrid>
            <w:gridCol w:w="1560"/>
            <w:gridCol w:w="450"/>
            <w:gridCol w:w="450"/>
            <w:gridCol w:w="450"/>
            <w:gridCol w:w="450"/>
            <w:gridCol w:w="450"/>
            <w:gridCol w:w="450"/>
            <w:gridCol w:w="450"/>
            <w:gridCol w:w="450"/>
            <w:gridCol w:w="450"/>
            <w:gridCol w:w="450"/>
            <w:gridCol w:w="450"/>
            <w:gridCol w:w="450"/>
            <w:gridCol w:w="450"/>
            <w:gridCol w:w="450"/>
            <w:gridCol w:w="450"/>
            <w:gridCol w:w="450"/>
            <w:gridCol w:w="450"/>
            <w:gridCol w:w="450"/>
          </w:tblGrid>
        </w:tblGridChange>
      </w:tblGrid>
      <w:tr>
        <w:trPr>
          <w:cantSplit w:val="0"/>
          <w:tblHeader w:val="1"/>
        </w:trPr>
        <w:tc>
          <w:tcPr>
            <w:shd w:fill="d9e2f3" w:val="clear"/>
            <w:tcMar>
              <w:top w:w="8.0" w:type="dxa"/>
              <w:bottom w:w="8.0" w:type="dxa"/>
            </w:tcMar>
            <w:vAlign w:val="center"/>
          </w:tcPr>
          <w:p w:rsidR="00000000" w:rsidDel="00000000" w:rsidP="00000000" w:rsidRDefault="00000000" w:rsidRPr="00000000" w14:paraId="000000CE">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Actividad</w:t>
            </w:r>
            <w:r w:rsidDel="00000000" w:rsidR="00000000" w:rsidRPr="00000000">
              <w:rPr>
                <w:rtl w:val="0"/>
              </w:rPr>
            </w:r>
          </w:p>
        </w:tc>
        <w:tc>
          <w:tcPr>
            <w:gridSpan w:val="4"/>
            <w:shd w:fill="e2f0d9" w:val="clear"/>
            <w:tcMar>
              <w:top w:w="8.0" w:type="dxa"/>
              <w:bottom w:w="8.0" w:type="dxa"/>
            </w:tcMar>
            <w:vAlign w:val="center"/>
          </w:tcPr>
          <w:p w:rsidR="00000000" w:rsidDel="00000000" w:rsidP="00000000" w:rsidRDefault="00000000" w:rsidRPr="00000000" w14:paraId="000000CF">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Fase 1</w:t>
            </w:r>
            <w:r w:rsidDel="00000000" w:rsidR="00000000" w:rsidRPr="00000000">
              <w:rPr>
                <w:rtl w:val="0"/>
              </w:rPr>
            </w:r>
          </w:p>
        </w:tc>
        <w:tc>
          <w:tcPr>
            <w:gridSpan w:val="11"/>
            <w:shd w:fill="fff2cc" w:val="clear"/>
            <w:tcMar>
              <w:top w:w="8.0" w:type="dxa"/>
              <w:bottom w:w="8.0" w:type="dxa"/>
            </w:tcMar>
            <w:vAlign w:val="center"/>
          </w:tcPr>
          <w:p w:rsidR="00000000" w:rsidDel="00000000" w:rsidP="00000000" w:rsidRDefault="00000000" w:rsidRPr="00000000" w14:paraId="000000D3">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Fase 2</w:t>
            </w:r>
            <w:r w:rsidDel="00000000" w:rsidR="00000000" w:rsidRPr="00000000">
              <w:rPr>
                <w:rtl w:val="0"/>
              </w:rPr>
            </w:r>
          </w:p>
        </w:tc>
        <w:tc>
          <w:tcPr>
            <w:gridSpan w:val="3"/>
            <w:shd w:fill="fce4d6" w:val="clear"/>
            <w:tcMar>
              <w:top w:w="8.0" w:type="dxa"/>
              <w:bottom w:w="8.0" w:type="dxa"/>
            </w:tcMar>
            <w:vAlign w:val="center"/>
          </w:tcPr>
          <w:p w:rsidR="00000000" w:rsidDel="00000000" w:rsidP="00000000" w:rsidRDefault="00000000" w:rsidRPr="00000000" w14:paraId="000000DE">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Fase 3</w:t>
            </w:r>
            <w:r w:rsidDel="00000000" w:rsidR="00000000" w:rsidRPr="00000000">
              <w:rPr>
                <w:rtl w:val="0"/>
              </w:rPr>
            </w:r>
          </w:p>
        </w:tc>
      </w:tr>
      <w:tr>
        <w:trPr>
          <w:cantSplit w:val="0"/>
          <w:tblHeader w:val="1"/>
        </w:trPr>
        <w:tc>
          <w:tcPr>
            <w:shd w:fill="d9e2f3" w:val="clear"/>
            <w:tcMar>
              <w:top w:w="8.0" w:type="dxa"/>
              <w:bottom w:w="8.0" w:type="dxa"/>
            </w:tcMar>
            <w:vAlign w:val="center"/>
          </w:tcPr>
          <w:p w:rsidR="00000000" w:rsidDel="00000000" w:rsidP="00000000" w:rsidRDefault="00000000" w:rsidRPr="00000000" w14:paraId="000000E1">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Actividad</w:t>
            </w:r>
            <w:r w:rsidDel="00000000" w:rsidR="00000000" w:rsidRPr="00000000">
              <w:rPr>
                <w:rtl w:val="0"/>
              </w:rPr>
            </w:r>
          </w:p>
        </w:tc>
        <w:tc>
          <w:tcPr>
            <w:shd w:fill="e2f0d9" w:val="clear"/>
            <w:tcMar>
              <w:top w:w="8.0" w:type="dxa"/>
              <w:bottom w:w="8.0" w:type="dxa"/>
            </w:tcMar>
            <w:vAlign w:val="center"/>
          </w:tcPr>
          <w:p w:rsidR="00000000" w:rsidDel="00000000" w:rsidP="00000000" w:rsidRDefault="00000000" w:rsidRPr="00000000" w14:paraId="000000E2">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S1</w:t>
            </w:r>
            <w:r w:rsidDel="00000000" w:rsidR="00000000" w:rsidRPr="00000000">
              <w:rPr>
                <w:rtl w:val="0"/>
              </w:rPr>
            </w:r>
          </w:p>
        </w:tc>
        <w:tc>
          <w:tcPr>
            <w:shd w:fill="e2f0d9" w:val="clear"/>
            <w:tcMar>
              <w:top w:w="8.0" w:type="dxa"/>
              <w:bottom w:w="8.0" w:type="dxa"/>
            </w:tcMar>
            <w:vAlign w:val="center"/>
          </w:tcPr>
          <w:p w:rsidR="00000000" w:rsidDel="00000000" w:rsidP="00000000" w:rsidRDefault="00000000" w:rsidRPr="00000000" w14:paraId="000000E3">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S2</w:t>
            </w:r>
            <w:r w:rsidDel="00000000" w:rsidR="00000000" w:rsidRPr="00000000">
              <w:rPr>
                <w:rtl w:val="0"/>
              </w:rPr>
            </w:r>
          </w:p>
        </w:tc>
        <w:tc>
          <w:tcPr>
            <w:shd w:fill="e2f0d9" w:val="clear"/>
            <w:tcMar>
              <w:top w:w="8.0" w:type="dxa"/>
              <w:bottom w:w="8.0" w:type="dxa"/>
            </w:tcMar>
            <w:vAlign w:val="center"/>
          </w:tcPr>
          <w:p w:rsidR="00000000" w:rsidDel="00000000" w:rsidP="00000000" w:rsidRDefault="00000000" w:rsidRPr="00000000" w14:paraId="000000E4">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S3</w:t>
            </w:r>
            <w:r w:rsidDel="00000000" w:rsidR="00000000" w:rsidRPr="00000000">
              <w:rPr>
                <w:rtl w:val="0"/>
              </w:rPr>
            </w:r>
          </w:p>
        </w:tc>
        <w:tc>
          <w:tcPr>
            <w:shd w:fill="e2f0d9" w:val="clear"/>
            <w:tcMar>
              <w:top w:w="8.0" w:type="dxa"/>
              <w:bottom w:w="8.0" w:type="dxa"/>
            </w:tcMar>
            <w:vAlign w:val="center"/>
          </w:tcPr>
          <w:p w:rsidR="00000000" w:rsidDel="00000000" w:rsidP="00000000" w:rsidRDefault="00000000" w:rsidRPr="00000000" w14:paraId="000000E5">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S4</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6">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S5</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7">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S6</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8">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S7</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9">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S8</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A">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S9</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B">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S10</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C">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S11</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D">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S12</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E">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S13</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EF">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S14</w:t>
            </w:r>
            <w:r w:rsidDel="00000000" w:rsidR="00000000" w:rsidRPr="00000000">
              <w:rPr>
                <w:rtl w:val="0"/>
              </w:rPr>
            </w:r>
          </w:p>
        </w:tc>
        <w:tc>
          <w:tcPr>
            <w:shd w:fill="fff2cc" w:val="clear"/>
            <w:tcMar>
              <w:top w:w="8.0" w:type="dxa"/>
              <w:bottom w:w="8.0" w:type="dxa"/>
            </w:tcMar>
            <w:vAlign w:val="center"/>
          </w:tcPr>
          <w:p w:rsidR="00000000" w:rsidDel="00000000" w:rsidP="00000000" w:rsidRDefault="00000000" w:rsidRPr="00000000" w14:paraId="000000F0">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S15</w:t>
            </w:r>
            <w:r w:rsidDel="00000000" w:rsidR="00000000" w:rsidRPr="00000000">
              <w:rPr>
                <w:rtl w:val="0"/>
              </w:rPr>
            </w:r>
          </w:p>
        </w:tc>
        <w:tc>
          <w:tcPr>
            <w:shd w:fill="fce4d6" w:val="clear"/>
            <w:tcMar>
              <w:top w:w="8.0" w:type="dxa"/>
              <w:bottom w:w="8.0" w:type="dxa"/>
            </w:tcMar>
            <w:vAlign w:val="center"/>
          </w:tcPr>
          <w:p w:rsidR="00000000" w:rsidDel="00000000" w:rsidP="00000000" w:rsidRDefault="00000000" w:rsidRPr="00000000" w14:paraId="000000F1">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S16</w:t>
            </w:r>
            <w:r w:rsidDel="00000000" w:rsidR="00000000" w:rsidRPr="00000000">
              <w:rPr>
                <w:rtl w:val="0"/>
              </w:rPr>
            </w:r>
          </w:p>
        </w:tc>
        <w:tc>
          <w:tcPr>
            <w:shd w:fill="fce4d6" w:val="clear"/>
            <w:tcMar>
              <w:top w:w="8.0" w:type="dxa"/>
              <w:bottom w:w="8.0" w:type="dxa"/>
            </w:tcMar>
            <w:vAlign w:val="center"/>
          </w:tcPr>
          <w:p w:rsidR="00000000" w:rsidDel="00000000" w:rsidP="00000000" w:rsidRDefault="00000000" w:rsidRPr="00000000" w14:paraId="000000F2">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S17</w:t>
            </w:r>
            <w:r w:rsidDel="00000000" w:rsidR="00000000" w:rsidRPr="00000000">
              <w:rPr>
                <w:rtl w:val="0"/>
              </w:rPr>
            </w:r>
          </w:p>
        </w:tc>
        <w:tc>
          <w:tcPr>
            <w:shd w:fill="fce4d6" w:val="clear"/>
            <w:tcMar>
              <w:top w:w="8.0" w:type="dxa"/>
              <w:bottom w:w="8.0" w:type="dxa"/>
            </w:tcMar>
            <w:vAlign w:val="center"/>
          </w:tcPr>
          <w:p w:rsidR="00000000" w:rsidDel="00000000" w:rsidP="00000000" w:rsidRDefault="00000000" w:rsidRPr="00000000" w14:paraId="000000F3">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S18</w:t>
            </w: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0F4">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Alcance MVP</w:t>
            </w:r>
            <w:r w:rsidDel="00000000" w:rsidR="00000000" w:rsidRPr="00000000">
              <w:rPr>
                <w:rtl w:val="0"/>
              </w:rPr>
            </w:r>
          </w:p>
        </w:tc>
        <w:tc>
          <w:tcPr>
            <w:shd w:fill="d9ead3" w:val="clear"/>
            <w:tcMar>
              <w:top w:w="15.0" w:type="dxa"/>
              <w:bottom w:w="15.0" w:type="dxa"/>
            </w:tcMar>
            <w:vAlign w:val="center"/>
          </w:tcPr>
          <w:p w:rsidR="00000000" w:rsidDel="00000000" w:rsidP="00000000" w:rsidRDefault="00000000" w:rsidRPr="00000000" w14:paraId="000000F5">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d9ead3" w:val="clear"/>
            <w:tcMar>
              <w:top w:w="15.0" w:type="dxa"/>
              <w:bottom w:w="15.0" w:type="dxa"/>
            </w:tcMar>
            <w:vAlign w:val="center"/>
          </w:tcPr>
          <w:p w:rsidR="00000000" w:rsidDel="00000000" w:rsidP="00000000" w:rsidRDefault="00000000" w:rsidRPr="00000000" w14:paraId="000000F6">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7">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8">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9">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A">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B">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C">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D">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E">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0FF">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0">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1">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2">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3">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4">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5">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6">
            <w:pPr>
              <w:spacing w:after="0" w:before="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07">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Diseño técnico</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8">
            <w:pPr>
              <w:spacing w:after="0" w:before="0" w:lineRule="auto"/>
              <w:jc w:val="center"/>
              <w:rPr/>
            </w:pPr>
            <w:r w:rsidDel="00000000" w:rsidR="00000000" w:rsidRPr="00000000">
              <w:rPr>
                <w:rtl w:val="0"/>
              </w:rPr>
            </w:r>
          </w:p>
        </w:tc>
        <w:tc>
          <w:tcPr>
            <w:shd w:fill="d9ead3" w:val="clear"/>
            <w:tcMar>
              <w:top w:w="15.0" w:type="dxa"/>
              <w:bottom w:w="15.0" w:type="dxa"/>
            </w:tcMar>
            <w:vAlign w:val="center"/>
          </w:tcPr>
          <w:p w:rsidR="00000000" w:rsidDel="00000000" w:rsidP="00000000" w:rsidRDefault="00000000" w:rsidRPr="00000000" w14:paraId="00000109">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d9ead3" w:val="clear"/>
            <w:tcMar>
              <w:top w:w="15.0" w:type="dxa"/>
              <w:bottom w:w="15.0" w:type="dxa"/>
            </w:tcMar>
            <w:vAlign w:val="center"/>
          </w:tcPr>
          <w:p w:rsidR="00000000" w:rsidDel="00000000" w:rsidP="00000000" w:rsidRDefault="00000000" w:rsidRPr="00000000" w14:paraId="0000010A">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d9ead3" w:val="clear"/>
            <w:tcMar>
              <w:top w:w="15.0" w:type="dxa"/>
              <w:bottom w:w="15.0" w:type="dxa"/>
            </w:tcMar>
            <w:vAlign w:val="center"/>
          </w:tcPr>
          <w:p w:rsidR="00000000" w:rsidDel="00000000" w:rsidP="00000000" w:rsidRDefault="00000000" w:rsidRPr="00000000" w14:paraId="0000010B">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C">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D">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E">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0F">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0">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1">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2">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3">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4">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5">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6">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7">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8">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9">
            <w:pPr>
              <w:spacing w:after="0" w:before="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1A">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Backend y BD</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B">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C">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D">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1E">
            <w:pPr>
              <w:spacing w:after="0" w:before="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1F">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20">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21">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2">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3">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4">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5">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6">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7">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8">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9">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A">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B">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C">
            <w:pPr>
              <w:spacing w:after="0" w:before="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2D">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KONEA Web</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E">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2F">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0">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1">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2">
            <w:pPr>
              <w:spacing w:after="0" w:before="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33">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34">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35">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6">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7">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8">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9">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A">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B">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C">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D">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E">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3F">
            <w:pPr>
              <w:spacing w:after="0" w:before="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40">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FocusBuddy</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1">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2">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3">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4">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5">
            <w:pPr>
              <w:spacing w:after="0" w:before="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46">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47">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48">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9">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A">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B">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C">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D">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E">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4F">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0">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1">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2">
            <w:pPr>
              <w:spacing w:after="0" w:before="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53">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Integración MVP</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4">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5">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6">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7">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8">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9">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A">
            <w:pPr>
              <w:spacing w:after="0" w:before="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5B">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5C">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D">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E">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5F">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0">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1">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2">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3">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4">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5">
            <w:pPr>
              <w:spacing w:after="0" w:before="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66">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Dashboard</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7">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8">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9">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A">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B">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C">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D">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E">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6F">
            <w:pPr>
              <w:spacing w:after="0" w:before="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70">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71">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2">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3">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4">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5">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6">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7">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8">
            <w:pPr>
              <w:spacing w:after="0" w:before="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79">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Calidad y Docker</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A">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B">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C">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D">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E">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7F">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0">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1">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2">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3">
            <w:pPr>
              <w:spacing w:after="0" w:before="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84">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85">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86">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7">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8">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9">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A">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B">
            <w:pPr>
              <w:spacing w:after="0" w:before="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8C">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Entrega final</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D">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E">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8F">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0">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1">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2">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3">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4">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5">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6">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7">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8">
            <w:pPr>
              <w:spacing w:after="0" w:before="0" w:lineRule="auto"/>
              <w:jc w:val="center"/>
              <w:rPr/>
            </w:pP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99">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9A">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ce5cd" w:val="clear"/>
            <w:tcMar>
              <w:top w:w="15.0" w:type="dxa"/>
              <w:bottom w:w="15.0" w:type="dxa"/>
            </w:tcMar>
            <w:vAlign w:val="center"/>
          </w:tcPr>
          <w:p w:rsidR="00000000" w:rsidDel="00000000" w:rsidP="00000000" w:rsidRDefault="00000000" w:rsidRPr="00000000" w14:paraId="0000019B">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C">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D">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9E">
            <w:pPr>
              <w:spacing w:after="0" w:before="0" w:lineRule="auto"/>
              <w:jc w:val="center"/>
              <w:rPr/>
            </w:pPr>
            <w:r w:rsidDel="00000000" w:rsidR="00000000" w:rsidRPr="00000000">
              <w:rPr>
                <w:rtl w:val="0"/>
              </w:rPr>
            </w:r>
          </w:p>
        </w:tc>
      </w:tr>
      <w:tr>
        <w:trPr>
          <w:cantSplit w:val="1"/>
          <w:tblHeader w:val="0"/>
        </w:trPr>
        <w:tc>
          <w:tcPr>
            <w:tcMar>
              <w:top w:w="10.0" w:type="dxa"/>
              <w:bottom w:w="10.0" w:type="dxa"/>
            </w:tcMar>
            <w:vAlign w:val="center"/>
          </w:tcPr>
          <w:p w:rsidR="00000000" w:rsidDel="00000000" w:rsidP="00000000" w:rsidRDefault="00000000" w:rsidRPr="00000000" w14:paraId="0000019F">
            <w:pPr>
              <w:spacing w:after="0" w:before="0" w:lineRule="auto"/>
              <w:jc w:val="left"/>
              <w:rPr/>
            </w:pPr>
            <w:r w:rsidDel="00000000" w:rsidR="00000000" w:rsidRPr="00000000">
              <w:rPr>
                <w:rFonts w:ascii="Calibri" w:cs="Calibri" w:eastAsia="Calibri" w:hAnsi="Calibri"/>
                <w:b w:val="0"/>
                <w:bCs w:val="0"/>
                <w:i w:val="0"/>
                <w:iCs w:val="0"/>
                <w:color w:val="000000"/>
                <w:rtl w:val="0"/>
              </w:rPr>
              <w:t xml:space="preserve">Defensa</w:t>
            </w: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0">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1">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2">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3">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4">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5">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6">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7">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8">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9">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A">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B">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C">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D">
            <w:pPr>
              <w:spacing w:after="0" w:before="0" w:lineRule="auto"/>
              <w:jc w:val="center"/>
              <w:rPr/>
            </w:pPr>
            <w:r w:rsidDel="00000000" w:rsidR="00000000" w:rsidRPr="00000000">
              <w:rPr>
                <w:rtl w:val="0"/>
              </w:rPr>
            </w:r>
          </w:p>
        </w:tc>
        <w:tc>
          <w:tcPr>
            <w:tcMar>
              <w:top w:w="15.0" w:type="dxa"/>
              <w:bottom w:w="15.0" w:type="dxa"/>
            </w:tcMar>
            <w:vAlign w:val="center"/>
          </w:tcPr>
          <w:p w:rsidR="00000000" w:rsidDel="00000000" w:rsidP="00000000" w:rsidRDefault="00000000" w:rsidRPr="00000000" w14:paraId="000001AE">
            <w:pPr>
              <w:spacing w:after="0" w:before="0" w:lineRule="auto"/>
              <w:jc w:val="center"/>
              <w:rPr/>
            </w:pPr>
            <w:r w:rsidDel="00000000" w:rsidR="00000000" w:rsidRPr="00000000">
              <w:rPr>
                <w:rtl w:val="0"/>
              </w:rPr>
            </w:r>
          </w:p>
        </w:tc>
        <w:tc>
          <w:tcPr>
            <w:shd w:fill="f4cccc" w:val="clear"/>
            <w:tcMar>
              <w:top w:w="15.0" w:type="dxa"/>
              <w:bottom w:w="15.0" w:type="dxa"/>
            </w:tcMar>
            <w:vAlign w:val="center"/>
          </w:tcPr>
          <w:p w:rsidR="00000000" w:rsidDel="00000000" w:rsidP="00000000" w:rsidRDefault="00000000" w:rsidRPr="00000000" w14:paraId="000001AF">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4cccc" w:val="clear"/>
            <w:tcMar>
              <w:top w:w="15.0" w:type="dxa"/>
              <w:bottom w:w="15.0" w:type="dxa"/>
            </w:tcMar>
            <w:vAlign w:val="center"/>
          </w:tcPr>
          <w:p w:rsidR="00000000" w:rsidDel="00000000" w:rsidP="00000000" w:rsidRDefault="00000000" w:rsidRPr="00000000" w14:paraId="000001B0">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c>
          <w:tcPr>
            <w:shd w:fill="f4cccc" w:val="clear"/>
            <w:tcMar>
              <w:top w:w="15.0" w:type="dxa"/>
              <w:bottom w:w="15.0" w:type="dxa"/>
            </w:tcMar>
            <w:vAlign w:val="center"/>
          </w:tcPr>
          <w:p w:rsidR="00000000" w:rsidDel="00000000" w:rsidP="00000000" w:rsidRDefault="00000000" w:rsidRPr="00000000" w14:paraId="000001B1">
            <w:pPr>
              <w:spacing w:after="0" w:before="0" w:lineRule="auto"/>
              <w:jc w:val="center"/>
              <w:rPr/>
            </w:pPr>
            <w:r w:rsidDel="00000000" w:rsidR="00000000" w:rsidRPr="00000000">
              <w:rPr>
                <w:rFonts w:ascii="Calibri" w:cs="Calibri" w:eastAsia="Calibri" w:hAnsi="Calibri"/>
                <w:b w:val="1"/>
                <w:bCs w:val="1"/>
                <w:i w:val="0"/>
                <w:iCs w:val="0"/>
                <w:color w:val="000000"/>
                <w:rtl w:val="0"/>
              </w:rPr>
              <w:t xml:space="preserve">X</w:t>
            </w: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vZGy6pxjmIzqJuQodCyHAYoEug==">CgMxLjA4AHIhMS1qVjRYVGtfNjhuclNQS1VPRnlKUmhIeFoxTmtiTHJz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2026-08-19T18:13:00Z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