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Lg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99556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Avenida Zur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232 Telefono: :2121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www.lg.com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lg@mial.com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10-12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Avenida Zur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232 Telefono: :2121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www.lg.com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lg@mial.com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10-12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JP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465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321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465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321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