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line="240" w:lineRule="auto"/>
        <w:jc w:val="center"/>
        <w:rPr>
          <w:b w:val="1"/>
          <w:sz w:val="68"/>
          <w:szCs w:val="68"/>
        </w:rPr>
      </w:pPr>
      <w:bookmarkStart w:colFirst="0" w:colLast="0" w:name="_5mwr8i7rahc3" w:id="0"/>
      <w:bookmarkEnd w:id="0"/>
      <w:r w:rsidDel="00000000" w:rsidR="00000000" w:rsidRPr="00000000">
        <w:rPr>
          <w:b w:val="1"/>
          <w:sz w:val="68"/>
          <w:szCs w:val="68"/>
          <w:rtl w:val="0"/>
        </w:rPr>
        <w:t xml:space="preserve">Funciones de Agregación / Agregadas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line="240" w:lineRule="auto"/>
        <w:jc w:val="center"/>
        <w:rPr>
          <w:b w:val="1"/>
          <w:sz w:val="42"/>
          <w:szCs w:val="42"/>
        </w:rPr>
      </w:pPr>
      <w:bookmarkStart w:colFirst="0" w:colLast="0" w:name="_bbvur1ohfte8" w:id="1"/>
      <w:bookmarkEnd w:id="1"/>
      <w:r w:rsidDel="00000000" w:rsidR="00000000" w:rsidRPr="00000000">
        <w:rPr>
          <w:b w:val="1"/>
          <w:sz w:val="42"/>
          <w:szCs w:val="42"/>
          <w:rtl w:val="0"/>
        </w:rPr>
        <w:t xml:space="preserve">(Aggregate Functions)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432" w:lineRule="auto"/>
        <w:jc w:val="both"/>
        <w:rPr>
          <w:i w:val="1"/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- Funciones SQL </w:t>
      </w: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(Por tanto obviamente tienen </w:t>
      </w:r>
      <w:r w:rsidDel="00000000" w:rsidR="00000000" w:rsidRPr="00000000">
        <w:rPr>
          <w:i w:val="1"/>
          <w:color w:val="333333"/>
          <w:sz w:val="20"/>
          <w:szCs w:val="20"/>
          <w:highlight w:val="yellow"/>
          <w:rtl w:val="0"/>
        </w:rPr>
        <w:t xml:space="preserve">parámetros</w:t>
      </w: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432" w:lineRule="auto"/>
        <w:jc w:val="both"/>
        <w:rPr>
          <w:color w:val="333333"/>
          <w:sz w:val="20"/>
          <w:szCs w:val="20"/>
          <w:highlight w:val="yellow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- Nos permiten </w:t>
      </w:r>
      <w:r w:rsidDel="00000000" w:rsidR="00000000" w:rsidRPr="00000000">
        <w:rPr>
          <w:color w:val="333333"/>
          <w:sz w:val="20"/>
          <w:szCs w:val="20"/>
          <w:highlight w:val="cyan"/>
          <w:rtl w:val="0"/>
        </w:rPr>
        <w:t xml:space="preserve">efectuar operacione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s sobre un </w:t>
      </w:r>
      <w:r w:rsidDel="00000000" w:rsidR="00000000" w:rsidRPr="00000000">
        <w:rPr>
          <w:color w:val="333333"/>
          <w:sz w:val="20"/>
          <w:szCs w:val="20"/>
          <w:highlight w:val="yellow"/>
          <w:rtl w:val="0"/>
        </w:rPr>
        <w:t xml:space="preserve">conjunto de campos.</w:t>
      </w:r>
    </w:p>
    <w:p w:rsidR="00000000" w:rsidDel="00000000" w:rsidP="00000000" w:rsidRDefault="00000000" w:rsidRPr="00000000" w14:paraId="0000000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432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- Devuelven </w:t>
      </w:r>
      <w:r w:rsidDel="00000000" w:rsidR="00000000" w:rsidRPr="00000000">
        <w:rPr>
          <w:color w:val="333333"/>
          <w:sz w:val="20"/>
          <w:szCs w:val="20"/>
          <w:shd w:fill="d5a6bd" w:val="clear"/>
          <w:rtl w:val="0"/>
        </w:rPr>
        <w:t xml:space="preserve">un único valor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agregado para todos ellos.</w:t>
      </w:r>
    </w:p>
    <w:p w:rsidR="00000000" w:rsidDel="00000000" w:rsidP="00000000" w:rsidRDefault="00000000" w:rsidRPr="00000000" w14:paraId="0000000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432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- Las funciones de agregación </w:t>
      </w:r>
      <w:r w:rsidDel="00000000" w:rsidR="00000000" w:rsidRPr="00000000">
        <w:rPr>
          <w:color w:val="333333"/>
          <w:sz w:val="20"/>
          <w:szCs w:val="20"/>
          <w:highlight w:val="cyan"/>
          <w:rtl w:val="0"/>
        </w:rPr>
        <w:t xml:space="preserve">básicas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que soportan todos los</w:t>
      </w:r>
      <w:r w:rsidDel="00000000" w:rsidR="00000000" w:rsidRPr="00000000">
        <w:rPr>
          <w:color w:val="333333"/>
          <w:sz w:val="20"/>
          <w:szCs w:val="20"/>
          <w:highlight w:val="green"/>
          <w:rtl w:val="0"/>
        </w:rPr>
        <w:t xml:space="preserve"> gestores de datos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son las siguientes: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40" w:line="360" w:lineRule="auto"/>
        <w:ind w:left="1440" w:right="560" w:hanging="360"/>
        <w:rPr>
          <w:rFonts w:ascii="Calibri" w:cs="Calibri" w:eastAsia="Calibri" w:hAnsi="Calibri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COUNT (param)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: Retorna el número total de filas seleccionadas por la consulta. Cuenta cuántas filas (o valores no nulos) hay.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right="560" w:hanging="360"/>
        <w:rPr>
          <w:rFonts w:ascii="Calibri" w:cs="Calibri" w:eastAsia="Calibri" w:hAnsi="Calibri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MIN (param)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: Devuelve el valor mínimo del campo/columna que especifiquemos.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right="560" w:hanging="360"/>
        <w:rPr>
          <w:rFonts w:ascii="Calibri" w:cs="Calibri" w:eastAsia="Calibri" w:hAnsi="Calibri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MAX (param)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: Regresa el valor máximo del campo/columna que especifiquemos.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right="560" w:hanging="360"/>
        <w:rPr>
          <w:rFonts w:ascii="Calibri" w:cs="Calibri" w:eastAsia="Calibri" w:hAnsi="Calibri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SUM (param)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: Suma los valores del campo que especifiquemos. Sólo se puede utilizar en columnas numéricas. Es decir, suma todos los valores de una columna numérica.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00" w:before="0" w:beforeAutospacing="0" w:line="360" w:lineRule="auto"/>
        <w:ind w:left="1440" w:right="560" w:hanging="360"/>
        <w:rPr>
          <w:rFonts w:ascii="Calibri" w:cs="Calibri" w:eastAsia="Calibri" w:hAnsi="Calibri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AVG (param)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: Devuelve el valor promedio del campo que especifiquemos. Sólo se puede utilizar en columnas numéricas. Es decir, calcula el promedio de los valores de una columna numérica.</w:t>
      </w:r>
    </w:p>
    <w:p w:rsidR="00000000" w:rsidDel="00000000" w:rsidP="00000000" w:rsidRDefault="00000000" w:rsidRPr="00000000" w14:paraId="0000000E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00" w:before="440" w:line="240" w:lineRule="auto"/>
        <w:ind w:right="5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- Estas funciones se aplican a una sola columna o  campo, que especificaremos entre paréntesis (parámetro).</w:t>
      </w:r>
    </w:p>
    <w:p w:rsidR="00000000" w:rsidDel="00000000" w:rsidP="00000000" w:rsidRDefault="00000000" w:rsidRPr="00000000" w14:paraId="0000000F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00" w:before="440" w:line="240" w:lineRule="auto"/>
        <w:ind w:right="5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- La función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, que se puede aplicar a una columna o indicar un</w:t>
      </w:r>
      <w:r w:rsidDel="00000000" w:rsidR="00000000" w:rsidRPr="00000000">
        <w:rPr>
          <w:color w:val="333333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color w:val="0000ff"/>
          <w:sz w:val="32"/>
          <w:szCs w:val="32"/>
          <w:rtl w:val="0"/>
        </w:rPr>
        <w:t xml:space="preserve">*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00" w:before="440" w:line="240" w:lineRule="auto"/>
        <w:ind w:right="5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 diferencia entre establecer como parámetro el nombre de una columna/campo o usar  un </w:t>
      </w: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, es que en el primer caso no cuenta los valores nulos para dicha columna, y en el segundo si.</w:t>
      </w:r>
    </w:p>
    <w:p w:rsidR="00000000" w:rsidDel="00000000" w:rsidP="00000000" w:rsidRDefault="00000000" w:rsidRPr="00000000" w14:paraId="00000011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00" w:before="440" w:line="240" w:lineRule="auto"/>
        <w:ind w:right="5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Ejemplo: </w:t>
      </w:r>
    </w:p>
    <w:tbl>
      <w:tblPr>
        <w:tblStyle w:val="Table1"/>
        <w:tblW w:w="11835.0" w:type="dxa"/>
        <w:jc w:val="left"/>
        <w:tblInd w:w="21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35"/>
        <w:tblGridChange w:id="0">
          <w:tblGrid>
            <w:gridCol w:w="11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12" w:val="single"/>
              <w:bottom w:color="000000" w:space="0" w:sz="8" w:val="dashed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auto" w:space="0" w:sz="0" w:val="none"/>
                <w:left w:space="0" w:sz="0" w:val="nil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700" w:before="440" w:line="240" w:lineRule="auto"/>
              <w:ind w:left="720" w:right="560" w:firstLine="0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 count(*)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 tabla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38"/>
                <w:szCs w:val="38"/>
                <w:rtl w:val="0"/>
              </w:rPr>
              <w:t xml:space="preserve">  →    </w:t>
            </w:r>
            <w:r w:rsidDel="00000000" w:rsidR="00000000" w:rsidRPr="00000000">
              <w:rPr>
                <w:b w:val="1"/>
                <w:color w:val="333333"/>
                <w:sz w:val="20"/>
                <w:szCs w:val="20"/>
                <w:highlight w:val="yellow"/>
                <w:rtl w:val="0"/>
              </w:rPr>
              <w:t xml:space="preserve">Si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tiene en cuenta los valores nulos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auto" w:space="0" w:sz="0" w:val="none"/>
                <w:left w:space="0" w:sz="0" w:val="nil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700" w:before="440" w:line="240" w:lineRule="auto"/>
              <w:ind w:left="720" w:right="560" w:firstLine="0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SELECT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count(campo)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 tabla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38"/>
                <w:szCs w:val="38"/>
                <w:rtl w:val="0"/>
              </w:rPr>
              <w:t xml:space="preserve">  → 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333333"/>
                <w:sz w:val="20"/>
                <w:szCs w:val="20"/>
                <w:highlight w:val="yellow"/>
                <w:rtl w:val="0"/>
              </w:rPr>
              <w:t xml:space="preserve">NO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tiene en cuenta los valores nulos</w:t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257175</wp:posOffset>
            </wp:positionV>
            <wp:extent cx="7523927" cy="1816462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7070" l="4498" r="18769" t="31818"/>
                    <a:stretch>
                      <a:fillRect/>
                    </a:stretch>
                  </pic:blipFill>
                  <pic:spPr>
                    <a:xfrm>
                      <a:off x="0" y="0"/>
                      <a:ext cx="7523927" cy="18164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00" w:before="440" w:line="240" w:lineRule="auto"/>
        <w:ind w:left="720" w:right="5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00" w:before="440" w:line="240" w:lineRule="auto"/>
        <w:ind w:left="720" w:right="5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00" w:before="440" w:line="240" w:lineRule="auto"/>
        <w:ind w:left="720" w:right="5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720" w:right="560" w:firstLine="0"/>
        <w:rPr>
          <w:color w:val="333333"/>
          <w:sz w:val="46"/>
          <w:szCs w:val="46"/>
        </w:rPr>
      </w:pPr>
      <w:r w:rsidDel="00000000" w:rsidR="00000000" w:rsidRPr="00000000">
        <w:rPr>
          <w:b w:val="1"/>
          <w:color w:val="333333"/>
          <w:sz w:val="46"/>
          <w:szCs w:val="46"/>
          <w:rtl w:val="0"/>
        </w:rPr>
        <w:t xml:space="preserve">OJO</w:t>
      </w:r>
      <w:r w:rsidDel="00000000" w:rsidR="00000000" w:rsidRPr="00000000">
        <w:rPr>
          <w:color w:val="333333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720" w:right="5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9665063" cy="88942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3333" l="3488" r="2990" t="17333"/>
                    <a:stretch>
                      <a:fillRect/>
                    </a:stretch>
                  </pic:blipFill>
                  <pic:spPr>
                    <a:xfrm>
                      <a:off x="0" y="0"/>
                      <a:ext cx="9665063" cy="889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00" w:before="440" w:line="240" w:lineRule="auto"/>
        <w:ind w:left="720" w:right="560" w:firstLine="0"/>
        <w:jc w:val="both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Por ejemplo, veamos la lista de mysql (Aggregate Functions):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https://dev.mysql.com/doc/refman/9.3/en/aggregate-functions-and-modifiers.html</w:t>
        </w:r>
      </w:hyperlink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00" w:before="440" w:line="240" w:lineRule="auto"/>
        <w:ind w:left="720" w:right="560" w:firstLine="0"/>
        <w:jc w:val="both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7855313" cy="6353199"/>
            <wp:effectExtent b="12700" l="12700" r="12700" t="127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5313" cy="635319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jc w:val="both"/>
        <w:rPr>
          <w:b w:val="1"/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b w:val="1"/>
          <w:color w:val="222222"/>
          <w:sz w:val="20"/>
          <w:szCs w:val="20"/>
          <w:highlight w:val="white"/>
          <w:rtl w:val="0"/>
        </w:rPr>
        <w:t xml:space="preserve">Recuerde</w:t>
      </w:r>
      <w:r w:rsidDel="00000000" w:rsidR="00000000" w:rsidRPr="00000000">
        <w:rPr>
          <w:b w:val="1"/>
          <w:color w:val="222222"/>
          <w:sz w:val="20"/>
          <w:szCs w:val="20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E">
      <w:pPr>
        <w:pageBreakBefore w:val="0"/>
        <w:ind w:firstLine="72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Tenga en cuenta que para devolver el valor mínimo o el valor máximo de un conjunto de valores contenidos en un campo especificado en una consulta.</w:t>
      </w:r>
    </w:p>
    <w:p w:rsidR="00000000" w:rsidDel="00000000" w:rsidP="00000000" w:rsidRDefault="00000000" w:rsidRPr="00000000" w14:paraId="0000001F">
      <w:pPr>
        <w:pageBreakBefore w:val="0"/>
        <w:ind w:left="1440" w:firstLine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pageBreakBefore w:val="0"/>
        <w:ind w:left="1440" w:firstLine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Sintaxis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1">
      <w:pPr>
        <w:pageBreakBefore w:val="0"/>
        <w:ind w:left="1440" w:firstLine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pageBreakBefore w:val="0"/>
        <w:ind w:left="1440" w:firstLine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1155cc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Min(campo)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AS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“Alias”</w:t>
      </w:r>
    </w:p>
    <w:p w:rsidR="00000000" w:rsidDel="00000000" w:rsidP="00000000" w:rsidRDefault="00000000" w:rsidRPr="00000000" w14:paraId="00000023">
      <w:pPr>
        <w:pageBreakBefore w:val="0"/>
        <w:ind w:left="1440" w:firstLine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1155cc"/>
          <w:sz w:val="20"/>
          <w:szCs w:val="20"/>
          <w:highlight w:val="white"/>
          <w:rtl w:val="0"/>
        </w:rPr>
        <w:t xml:space="preserve">FROM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tabla;</w:t>
      </w:r>
    </w:p>
    <w:p w:rsidR="00000000" w:rsidDel="00000000" w:rsidP="00000000" w:rsidRDefault="00000000" w:rsidRPr="00000000" w14:paraId="00000024">
      <w:pPr>
        <w:pageBreakBefore w:val="0"/>
        <w:ind w:left="1440" w:firstLine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1440" w:firstLine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color w:val="1155cc"/>
          <w:sz w:val="20"/>
          <w:szCs w:val="20"/>
          <w:highlight w:val="white"/>
          <w:rtl w:val="0"/>
        </w:rPr>
        <w:t xml:space="preserve">SELECT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Max(campo) 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AS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“Alias”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color w:val="1155cc"/>
          <w:sz w:val="20"/>
          <w:szCs w:val="20"/>
          <w:highlight w:val="white"/>
          <w:rtl w:val="0"/>
        </w:rPr>
        <w:t xml:space="preserve">FROM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tabla;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23811" w:w="16838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ev.mysql.com/doc/refman/9.3/en/aggregate-functions-and-modifie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