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278B6C">
      <w:pPr>
        <w:pStyle w:val="866"/>
        <w:pBdr/>
        <w:spacing/>
        <w:ind/>
        <w:rPr/>
      </w:pPr>
      <w:r>
        <w:rPr>
          <w:rFonts w:ascii="Open Sans" w:hAnsi="Open Sans" w:eastAsia="Open Sans" w:cs="Open Sans"/>
          <w:b/>
          <w:color w:val="1d2125"/>
          <w:sz w:val="45"/>
        </w:rPr>
        <w:t xml:space="preserve">Actividad UT1.2 - Trabajo de investigación</w:t>
      </w:r>
      <w:r>
        <w:rPr>
          <w:rFonts w:ascii="Open Sans" w:hAnsi="Open Sans" w:eastAsia="Open Sans" w:cs="Open Sans"/>
          <w:sz w:val="45"/>
        </w:rPr>
      </w:r>
      <w:r/>
    </w:p>
    <w:p w14:paraId="20345696">
      <w:pPr>
        <w:pStyle w:val="868"/>
        <w:pBdr/>
        <w:spacing/>
        <w:ind/>
        <w:rPr>
          <w:color w:val="4472c4" w:themeColor="accent5"/>
        </w:rPr>
      </w:pPr>
      <w:r>
        <w:rPr>
          <w:color w:val="4472c4" w:themeColor="accent5"/>
        </w:rPr>
        <w:t xml:space="preserve">Rodrigo de Mora del Castillo - 3WEM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6EAD1">
      <w:pPr>
        <w:pBdr/>
        <w:spacing/>
        <w:ind/>
        <w:rPr/>
      </w:pPr>
      <w:r/>
      <w:r/>
      <w:r/>
    </w:p>
    <w:p w14:paraId="465A3999">
      <w:pPr>
        <w:pBdr/>
        <w:spacing/>
        <w:ind/>
        <w:rPr/>
      </w:pPr>
      <w:r/>
      <w:r/>
      <w:r/>
    </w:p>
    <w:p w14:paraId="593AB5F1">
      <w:pPr>
        <w:pBdr/>
        <w:spacing/>
        <w:ind/>
        <w:rPr/>
      </w:pPr>
      <w:r/>
      <w:r/>
      <w:r/>
    </w:p>
    <w:p w14:paraId="195AD40C">
      <w:pPr>
        <w:pBdr/>
        <w:spacing/>
        <w:ind/>
        <w:rPr/>
      </w:pPr>
      <w:r/>
      <w:r/>
      <w:r/>
    </w:p>
    <w:p w14:paraId="5EFC083D">
      <w:pPr>
        <w:pBdr/>
        <w:spacing/>
        <w:ind/>
        <w:rPr/>
      </w:pPr>
      <w:r/>
      <w:r/>
      <w:r/>
    </w:p>
    <w:p w14:paraId="6D551296">
      <w:pPr>
        <w:pBdr/>
        <w:spacing/>
        <w:ind/>
        <w:rPr/>
      </w:pPr>
      <w:r>
        <w:rPr>
          <w:color w:val="4472c4" w:themeColor="accent5"/>
        </w:rPr>
      </w:r>
      <w:r>
        <w:rPr>
          <w:color w:val="4472c4" w:themeColor="accent5"/>
        </w:rPr>
      </w:r>
      <w:r/>
    </w:p>
    <w:p w14:paraId="70B9583F">
      <w:pPr>
        <w:pBdr/>
        <w:spacing/>
        <w:ind/>
        <w:rPr/>
      </w:pPr>
      <w:r>
        <w:rPr>
          <w:color w:val="4472c4" w:themeColor="accent5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1828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12404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318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61.2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color w:val="4472c4" w:themeColor="accent5"/>
        </w:rPr>
      </w:r>
      <w:r>
        <w:rPr>
          <w:color w:val="4472c4" w:themeColor="accent5"/>
        </w:rPr>
      </w:r>
      <w:r/>
    </w:p>
    <w:p w14:paraId="0AA18DE2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1552DDA5">
          <w:pPr>
            <w:pStyle w:val="895"/>
            <w:pBdr/>
            <w:tabs>
              <w:tab w:val="left" w:leader="none" w:pos="850"/>
              <w:tab w:val="right" w:leader="dot" w:pos="9355"/>
            </w:tabs>
            <w:spacing/>
            <w:ind/>
            <w:rPr/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/>
          <w:hyperlink w:tooltip="#_Toc1" w:anchor="_Toc1" w:history="1">
            <w:r>
              <w:rPr>
                <w:rFonts w:ascii="Symbol" w:hAnsi="Symbol" w:eastAsia="Symbol" w:cs="Symbol"/>
              </w:rPr>
              <w:t xml:space="preserve">·</w:t>
            </w:r>
            <w:r>
              <w:tab/>
            </w:r>
            <w:r>
              <w:rPr>
                <w:rStyle w:val="892"/>
              </w:rPr>
            </w:r>
            <w:r>
              <w:rPr>
                <w:rStyle w:val="892"/>
              </w:rPr>
              <w:t xml:space="preserve">TPS</w:t>
            </w:r>
            <w:r>
              <w:rPr>
                <w:rStyle w:val="892"/>
              </w:rPr>
              <w:t xml:space="preserve"> (</w:t>
            </w:r>
            <w:r>
              <w:rPr>
                <w:rStyle w:val="892"/>
              </w:rPr>
              <w:t xml:space="preserve">Transaction Processing System</w:t>
            </w:r>
            <w:r>
              <w:rPr>
                <w:rStyle w:val="892"/>
              </w:rPr>
              <w:t xml:space="preserve">)</w:t>
            </w:r>
            <w:r>
              <w:rPr>
                <w:rStyle w:val="892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2C0DDACF">
          <w:pPr>
            <w:pStyle w:val="895"/>
            <w:pBdr/>
            <w:tabs>
              <w:tab w:val="left" w:leader="none" w:pos="850"/>
              <w:tab w:val="right" w:leader="dot" w:pos="9355"/>
            </w:tabs>
            <w:spacing/>
            <w:ind/>
            <w:rPr/>
          </w:pPr>
          <w:hyperlink w:tooltip="#_Toc2" w:anchor="_Toc2" w:history="1">
            <w:r>
              <w:rPr>
                <w:rFonts w:ascii="Symbol" w:hAnsi="Symbol" w:eastAsia="Symbol" w:cs="Symbol"/>
              </w:rPr>
              <w:t xml:space="preserve">·</w:t>
            </w:r>
            <w:r>
              <w:tab/>
            </w:r>
            <w:r>
              <w:rPr>
                <w:rStyle w:val="892"/>
              </w:rPr>
            </w:r>
            <w:r>
              <w:rPr>
                <w:rStyle w:val="892"/>
              </w:rPr>
              <w:t xml:space="preserve">BPM (Business Process Management)</w:t>
            </w:r>
            <w:r>
              <w:rPr>
                <w:rStyle w:val="892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5C4653CA">
          <w:pPr>
            <w:pStyle w:val="895"/>
            <w:pBdr/>
            <w:tabs>
              <w:tab w:val="left" w:leader="none" w:pos="850"/>
              <w:tab w:val="right" w:leader="dot" w:pos="9355"/>
            </w:tabs>
            <w:spacing/>
            <w:ind/>
            <w:rPr/>
          </w:pPr>
          <w:hyperlink w:tooltip="#_Toc3" w:anchor="_Toc3" w:history="1">
            <w:r>
              <w:rPr>
                <w:rFonts w:ascii="Symbol" w:hAnsi="Symbol" w:eastAsia="Symbol" w:cs="Symbol"/>
              </w:rPr>
              <w:t xml:space="preserve">·</w:t>
            </w:r>
            <w:r>
              <w:tab/>
            </w:r>
            <w:r>
              <w:rPr>
                <w:rStyle w:val="892"/>
              </w:rPr>
            </w:r>
            <w:r>
              <w:rPr>
                <w:rStyle w:val="892"/>
              </w:rPr>
              <w:t xml:space="preserve">MIS (Management Information System)</w:t>
            </w:r>
            <w:r>
              <w:rPr>
                <w:rStyle w:val="892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</w:p>
        <w:p w14:paraId="70595C00">
          <w:pPr>
            <w:pStyle w:val="895"/>
            <w:pBdr/>
            <w:tabs>
              <w:tab w:val="left" w:leader="none" w:pos="850"/>
              <w:tab w:val="right" w:leader="dot" w:pos="9355"/>
            </w:tabs>
            <w:spacing/>
            <w:ind/>
            <w:rPr/>
          </w:pPr>
          <w:hyperlink w:tooltip="#_Toc4" w:anchor="_Toc4" w:history="1">
            <w:r>
              <w:rPr>
                <w:rFonts w:ascii="Symbol" w:hAnsi="Symbol" w:eastAsia="Symbol" w:cs="Symbol"/>
              </w:rPr>
              <w:t xml:space="preserve">·</w:t>
            </w:r>
            <w:r>
              <w:tab/>
            </w:r>
            <w:r>
              <w:rPr>
                <w:rStyle w:val="892"/>
              </w:rPr>
            </w:r>
            <w:r>
              <w:rPr>
                <w:rStyle w:val="892"/>
              </w:rPr>
              <w:t xml:space="preserve">ERP (Enterprise Resource Planning)</w:t>
            </w:r>
            <w:r>
              <w:rPr>
                <w:rStyle w:val="892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</w:p>
        <w:p w14:paraId="2CB0E101">
          <w:pPr>
            <w:pStyle w:val="895"/>
            <w:pBdr/>
            <w:tabs>
              <w:tab w:val="left" w:leader="none" w:pos="850"/>
              <w:tab w:val="right" w:leader="dot" w:pos="9355"/>
            </w:tabs>
            <w:spacing/>
            <w:ind/>
            <w:rPr/>
          </w:pPr>
          <w:hyperlink w:tooltip="#_Toc5" w:anchor="_Toc5" w:history="1">
            <w:r>
              <w:rPr>
                <w:rFonts w:ascii="Symbol" w:hAnsi="Symbol" w:eastAsia="Symbol" w:cs="Symbol"/>
              </w:rPr>
              <w:t xml:space="preserve">·</w:t>
            </w:r>
            <w:r>
              <w:tab/>
            </w:r>
            <w:r>
              <w:rPr>
                <w:rStyle w:val="892"/>
              </w:rPr>
            </w:r>
            <w:r>
              <w:rPr>
                <w:rStyle w:val="892"/>
              </w:rPr>
              <w:t xml:space="preserve">CRM (Customer Relationship Management)</w:t>
            </w:r>
            <w:r>
              <w:rPr>
                <w:rStyle w:val="892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/>
        </w:p>
        <w:p w14:paraId="47E34536">
          <w:pPr>
            <w:pStyle w:val="895"/>
            <w:pBdr/>
            <w:tabs>
              <w:tab w:val="left" w:leader="none" w:pos="850"/>
              <w:tab w:val="right" w:leader="dot" w:pos="9355"/>
            </w:tabs>
            <w:spacing/>
            <w:ind/>
            <w:rPr/>
          </w:pPr>
          <w:hyperlink w:tooltip="#_Toc6" w:anchor="_Toc6" w:history="1">
            <w:r>
              <w:rPr>
                <w:rFonts w:ascii="Symbol" w:hAnsi="Symbol" w:eastAsia="Symbol" w:cs="Symbol"/>
              </w:rPr>
              <w:t xml:space="preserve">·</w:t>
            </w:r>
            <w:r>
              <w:tab/>
            </w:r>
            <w:r>
              <w:rPr>
                <w:rStyle w:val="892"/>
              </w:rPr>
            </w:r>
            <w:r>
              <w:rPr>
                <w:rStyle w:val="892"/>
              </w:rPr>
              <w:t xml:space="preserve">DSS (Decision Support System)</w:t>
            </w:r>
            <w:r>
              <w:rPr>
                <w:rStyle w:val="892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8</w:t>
              <w:fldChar w:fldCharType="end"/>
            </w:r>
          </w:hyperlink>
          <w:r/>
        </w:p>
        <w:p w14:paraId="4CF8BC4F">
          <w:pPr>
            <w:pStyle w:val="895"/>
            <w:pBdr/>
            <w:tabs>
              <w:tab w:val="left" w:leader="none" w:pos="850"/>
              <w:tab w:val="right" w:leader="dot" w:pos="9355"/>
            </w:tabs>
            <w:spacing/>
            <w:ind/>
            <w:rPr/>
          </w:pPr>
          <w:hyperlink w:tooltip="#_Toc7" w:anchor="_Toc7" w:history="1">
            <w:r>
              <w:rPr>
                <w:rFonts w:ascii="Symbol" w:hAnsi="Symbol" w:eastAsia="Symbol" w:cs="Symbol"/>
              </w:rPr>
              <w:t xml:space="preserve">·</w:t>
            </w:r>
            <w:r>
              <w:tab/>
            </w:r>
            <w:r>
              <w:rPr>
                <w:rStyle w:val="892"/>
              </w:rPr>
            </w:r>
            <w:r>
              <w:rPr>
                <w:rStyle w:val="892"/>
              </w:rPr>
              <w:t xml:space="preserve">EIS (Executive Information System)</w:t>
            </w:r>
            <w:r>
              <w:rPr>
                <w:rStyle w:val="89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9</w:t>
              <w:fldChar w:fldCharType="end"/>
            </w:r>
          </w:hyperlink>
          <w:r/>
        </w:p>
        <w:p w14:paraId="080B2106">
          <w:pPr>
            <w:pStyle w:val="895"/>
            <w:pBdr/>
            <w:tabs>
              <w:tab w:val="left" w:leader="none" w:pos="850"/>
              <w:tab w:val="right" w:leader="dot" w:pos="9355"/>
            </w:tabs>
            <w:spacing/>
            <w:ind/>
            <w:rPr/>
          </w:pPr>
          <w:hyperlink w:tooltip="#_Toc8" w:anchor="_Toc8" w:history="1">
            <w:r>
              <w:rPr>
                <w:rFonts w:ascii="Symbol" w:hAnsi="Symbol" w:eastAsia="Symbol" w:cs="Symbol"/>
              </w:rPr>
              <w:t xml:space="preserve">·</w:t>
            </w:r>
            <w:r>
              <w:tab/>
            </w:r>
            <w:r>
              <w:rPr>
                <w:rStyle w:val="892"/>
              </w:rPr>
            </w:r>
            <w:r>
              <w:rPr>
                <w:rStyle w:val="892"/>
              </w:rPr>
              <w:t xml:space="preserve">BSC (Balanced Scorecard)</w:t>
            </w:r>
            <w:r>
              <w:rPr>
                <w:rStyle w:val="892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10</w:t>
              <w:fldChar w:fldCharType="end"/>
            </w:r>
          </w:hyperlink>
          <w:r/>
        </w:p>
        <w:p w14:paraId="1857EFB9">
          <w:pPr>
            <w:pStyle w:val="895"/>
            <w:pBdr/>
            <w:tabs>
              <w:tab w:val="left" w:leader="none" w:pos="850"/>
              <w:tab w:val="right" w:leader="dot" w:pos="9355"/>
            </w:tabs>
            <w:spacing/>
            <w:ind/>
            <w:rPr/>
          </w:pPr>
          <w:hyperlink w:tooltip="#_Toc9" w:anchor="_Toc9" w:history="1">
            <w:r>
              <w:rPr>
                <w:rFonts w:ascii="Symbol" w:hAnsi="Symbol" w:eastAsia="Symbol" w:cs="Symbol"/>
              </w:rPr>
              <w:t xml:space="preserve">·</w:t>
            </w:r>
            <w:r>
              <w:tab/>
            </w:r>
            <w:r>
              <w:rPr>
                <w:rStyle w:val="892"/>
              </w:rPr>
            </w:r>
            <w:r>
              <w:rPr>
                <w:rStyle w:val="892"/>
              </w:rPr>
              <w:t xml:space="preserve">HRM (Human Resource Management)</w:t>
            </w:r>
            <w:r>
              <w:rPr>
                <w:rStyle w:val="892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11</w:t>
              <w:fldChar w:fldCharType="end"/>
            </w:r>
          </w:hyperlink>
          <w:r/>
        </w:p>
        <w:p w14:paraId="6690DBED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 w14:paraId="4305D59A">
      <w:pPr>
        <w:pBdr/>
        <w:shd w:val="nil" w:color="auto"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</w:p>
    <w:p w14:paraId="65A5D00D">
      <w:pPr>
        <w:pStyle w:val="848"/>
        <w:numPr>
          <w:ilvl w:val="0"/>
          <w:numId w:val="2"/>
        </w:numPr>
        <w:pBdr/>
        <w:spacing/>
        <w:ind/>
        <w:rPr/>
      </w:pPr>
      <w:r/>
      <w:bookmarkStart w:id="1" w:name="_Toc1"/>
      <w:r>
        <w:t xml:space="preserve">TPS</w:t>
      </w:r>
      <w:r>
        <w:t xml:space="preserve"> (</w:t>
      </w:r>
      <w:r>
        <w:t xml:space="preserve">Transaction Processing System</w:t>
      </w:r>
      <w:r>
        <w:t xml:space="preserve">)</w:t>
      </w:r>
      <w:r/>
      <w:bookmarkEnd w:id="1"/>
      <w:r/>
      <w:r/>
    </w:p>
    <w:tbl>
      <w:tblPr>
        <w:tblStyle w:val="721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>
          <w:trHeight w:val="467"/>
        </w:trPr>
        <w:tc>
          <w:tcPr>
            <w:tcBorders/>
            <w:tcW w:w="2339" w:type="dxa"/>
          </w:tcPr>
          <w:p w14:paraId="65DC3295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AC68469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NCR Counterpoint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79BC051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Square POS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AA05CCF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uniCenta oPOS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>
          <w:trHeight w:val="415"/>
        </w:trPr>
        <w:tc>
          <w:tcPr>
            <w:tcBorders/>
            <w:tcW w:w="2339" w:type="dxa"/>
          </w:tcPr>
          <w:p w14:paraId="3C6A740F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61CA584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Comercial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42EB18F1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Comercial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5EBADC2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Software Libre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7B27F338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Logo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47A12832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2199" cy="666099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2929266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332199" cy="6660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04.90pt;height:52.4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D751263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01952" cy="666279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1051321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301952" cy="66627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102.52pt;height:52.46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38F575E4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64571" cy="664571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500282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664571" cy="66457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52.33pt;height:52.33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  <w:vMerge w:val="restart"/>
          </w:tcPr>
          <w:p w14:paraId="56EB0DC8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Desarrolladora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  <w:vMerge w:val="restart"/>
          </w:tcPr>
          <w:p w14:paraId="6CB849D9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NCR Voyix Corporation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  <w:vMerge w:val="restart"/>
          </w:tcPr>
          <w:p w14:paraId="515B84D6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Block, Inc.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  <w:vMerge w:val="restart"/>
          </w:tcPr>
          <w:p w14:paraId="0A2ACC6F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Comunidad uniCenta / uniCenta Ltd.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182F745B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Modalidad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FE4E99E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Software Propietario (Suscripción SaaS / Licencia On-Premise)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EDD04B2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Software Propietario (Pago por transacción / Suscripción SaaS)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561D992E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Software Libre (GNU General Public License v3 - GPLv3)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32961694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Arquitectura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3F0682E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Cliente-Servidor local / Híbrida en Nube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C5C74DA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Basada en Nube (Cloud-Native / API-Driven)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3A3B00CB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Cliente-Servidor Multiplataforma (Java / MySQL)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1721C502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Características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BCBFA4D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Punto de venta (POS) y procesamiento masivo de transacciones para comercio minorista. Control de inventario en tiempo real, procesamiento de cobros multicanal, gestión de fidelización y alta velocidad de cobro con tolerancia a fallos offline.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9C9536A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Sistema TPS multiproyecto para procesamiento de pagos con tarjeta, cobros móviles y gestión de ventas diarias. Proporciona sincronización inmediata en la nube, interfaz táctil y pasarela de pago integrada.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488D20D">
            <w:pPr>
              <w:pBdr/>
              <w:spacing/>
              <w:ind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Sistema POS multiplataforma con gestión completa de caja, tickets de compra, catálogo de productos, soporte para periféricos (lectores, balanzas) y conexión directa a bases de datos relacionales sin costes de licencia.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5D3B3E17">
      <w:pPr>
        <w:pStyle w:val="848"/>
        <w:pBdr/>
        <w:spacing/>
        <w:ind w:firstLine="0" w:left="0"/>
        <w:rPr/>
      </w:pPr>
      <w:r>
        <w:br w:type="page" w:clear="all"/>
      </w:r>
      <w:r/>
    </w:p>
    <w:p>
      <w:pPr>
        <w:pStyle w:val="848"/>
        <w:numPr>
          <w:ilvl w:val="0"/>
          <w:numId w:val="4"/>
        </w:numPr>
        <w:pBdr/>
        <w:spacing/>
        <w:ind/>
        <w:rPr/>
      </w:pPr>
      <w:r/>
      <w:bookmarkStart w:id="2" w:name="_Toc2"/>
      <w:r>
        <w:t xml:space="preserve">BPM (Business Process Management)</w:t>
      </w:r>
      <w:r/>
      <w:bookmarkEnd w:id="2"/>
      <w:r/>
      <w:r/>
    </w:p>
    <w:tbl>
      <w:tblPr>
        <w:tblStyle w:val="721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 w14:paraId="4DF67530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E40EE7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IBM Business Automation Workflow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02F919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Bizagi BPM Suite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4D8A716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Camunda Platform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480"/>
        </w:trPr>
        <w:tc>
          <w:tcPr>
            <w:tcBorders/>
            <w:tcW w:w="2339" w:type="dxa"/>
          </w:tcPr>
          <w:p w14:paraId="6BE5290B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7B368E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461BDBF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1F21DBB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Software Libre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59DF429F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Logo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883387A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23443" cy="688186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3502274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23442" cy="68818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96.33pt;height:54.19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0187B04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23006" cy="721573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4237482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23005" cy="72157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96.30pt;height:56.82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5EE875EC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64571" cy="664571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8390834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664571" cy="66457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52.33pt;height:52.33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71E37E25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Desarrolladora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513B71A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IBM Corporation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579365D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Bizagi Ltd.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3B54057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Camunda Services GmbH / Comunidad Open Source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03CF51A7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Modalidad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16F1CFF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(Licencia Empresarial On-Premise / SaaS Cloud)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8846E79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/ Licencia por usuario activo)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55E0C67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Libre / Código Abierto (Apache License 2.0)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17CE2E3C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Arquitectura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3A90358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Orientada a Servicios (SOA) / Microservicios en Kubernetes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ADF7FF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Basada en Nube (Cloud Platform - PaaS) / Integración REST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F401B7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Microservicios / Decoupled Engine (Java / REST / gRPC)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626D9592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Características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50BFBCD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Plataforma integral para el diseño, ejecución y análisis de procesos complejos. Incorpora motor de reglas de negocio (ILOG), analítica de procesos, automatización asistida por IA y conectores empresariales avanzados.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6D8A04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Modelado estándar BPMN 2.0, motor de ejecución de procesos de bajo código (Low-Code), creación dinámica de formularios e integración rápida con entornos ERP/CRM corporativos.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6F7F52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Motor de orquestación de procesos BPMN y reglas DMN ligero y escalable. Diseñado para integrarse en arquitecturas de microservicios modernas, con monitorización gráfica mediante Camunda Operate y Cockpit.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5EE2513D">
      <w:pPr>
        <w:pBdr/>
        <w:shd w:val="nil" w:color="auto"/>
        <w:spacing/>
        <w:ind/>
        <w:rPr/>
      </w:pPr>
      <w:r>
        <w:br w:type="page" w:clear="all"/>
      </w:r>
      <w:r/>
    </w:p>
    <w:p w14:paraId="746D60F0">
      <w:pPr>
        <w:pStyle w:val="848"/>
        <w:numPr>
          <w:ilvl w:val="0"/>
          <w:numId w:val="6"/>
        </w:numPr>
        <w:pBdr/>
        <w:spacing/>
        <w:ind/>
        <w:rPr/>
      </w:pPr>
      <w:r/>
      <w:bookmarkStart w:id="3" w:name="_Toc3"/>
      <w:r>
        <w:t xml:space="preserve">MIS (Management Information System)</w:t>
      </w:r>
      <w:r/>
      <w:bookmarkEnd w:id="3"/>
      <w:r/>
      <w:r/>
    </w:p>
    <w:tbl>
      <w:tblPr>
        <w:tblStyle w:val="721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 w14:paraId="738A32A8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1B70BF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Oracle Crystal Reports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6F43B34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Microsoft Power BI Report Server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AF9B90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JasperReports Server / Jaspersoft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480"/>
        </w:trPr>
        <w:tc>
          <w:tcPr>
            <w:tcBorders/>
            <w:tcW w:w="2339" w:type="dxa"/>
          </w:tcPr>
          <w:p w14:paraId="486A9669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D44106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531398A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303F6E0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Software Libre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1666314C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Logo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48D1730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16458" cy="672762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9692186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816457" cy="67276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64.29pt;height:52.97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0054E73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37098" cy="553794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9371620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37098" cy="55379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97.41pt;height:43.61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ABCE1A7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14869" cy="637806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6447244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14868" cy="6378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95.66pt;height:50.22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7FF07C5D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Desarrolladora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D90251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SAP 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AFE3A0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Microsoft Corporation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3A308BC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Jaspersoft (Comunidad Open Source / Jaspersoft Corp)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1654CFCB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Modalidad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1D8AF22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(Licencia por Usuario / Servidor)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9DC4A9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(Licencia Power BI Premium / SQL Server EE)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1FC9AC9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Libre (GNU Lesser General Public License - LGPL / AGPL)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41ABCFA4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Arquitectura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D9CE5B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Cliente-Servidor / Web Reporting Engine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CA2411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Servidor On-Premise / Híbrida Cloud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A1C820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Servidor Web Java EE (Modular / REST API)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6E3EF542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Características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411AD9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Motor clásico de análisis e informes corporativos. Conexión nativa a múltiples orígenes de datos (SQL, Oracle, ODBC), diseño visual paso a paso de reportes dinámicos e integración con paneles de control intermedios.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4CED564A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Plataforma de informes operativos y gerenciales alojada de forma local o privada. Automatización de reportes paginados, tableros de control con refresco programado y distribución controlada por roles de usuario.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72FCBC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Motor de generación de informes y reporting de código abierto. Permite crear plantillas interactivas con JasperSoft Studio, exportación masiva a formatos estándar (PDF, Excel) y su incrustación (embedded) en plataformas web.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136BCA62">
      <w:pPr>
        <w:pBdr/>
        <w:shd w:val="nil" w:color="auto"/>
        <w:spacing/>
        <w:ind/>
        <w:rPr/>
      </w:pPr>
      <w:r>
        <w:br w:type="page" w:clear="all"/>
      </w:r>
      <w:r/>
    </w:p>
    <w:p w14:paraId="160E5C57">
      <w:pPr>
        <w:pStyle w:val="848"/>
        <w:numPr>
          <w:ilvl w:val="0"/>
          <w:numId w:val="7"/>
        </w:numPr>
        <w:pBdr/>
        <w:spacing/>
        <w:ind/>
        <w:rPr/>
      </w:pPr>
      <w:r/>
      <w:bookmarkStart w:id="4" w:name="_Toc4"/>
      <w:r>
        <w:t xml:space="preserve">ERP (Enterprise Resource Planning)</w:t>
      </w:r>
      <w:r/>
      <w:bookmarkEnd w:id="4"/>
      <w:r/>
      <w:r/>
    </w:p>
    <w:tbl>
      <w:tblPr>
        <w:tblStyle w:val="721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 w14:paraId="4F2D27BC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7A34FD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SAP S/4HANA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12AAF4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Microsoft Dynamics 365 Finance &amp; Supply Chain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3BD0302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Odoo Community Edition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480"/>
        </w:trPr>
        <w:tc>
          <w:tcPr>
            <w:tcBorders/>
            <w:tcW w:w="2339" w:type="dxa"/>
          </w:tcPr>
          <w:p w14:paraId="170AB28B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270138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45CC7BA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5D8F9E0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Software Libre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61797E7E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Logo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5B22992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60767" cy="1260767"/>
                      <wp:effectExtent l="0" t="0" r="0" b="0"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3438841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60767" cy="126076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99.27pt;height:99.27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470E6676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90216" cy="1292903"/>
                      <wp:effectExtent l="0" t="0" r="0" b="0"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5183874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90215" cy="12929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101.59pt;height:101.80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473338C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sz w:val="24"/>
                <w:szCs w:val="24"/>
              </w:rPr>
            </w:r>
          </w:p>
          <w:p w14:paraId="6E143F6F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1BDDC8E3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B87BA0D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9257" cy="318541"/>
                      <wp:effectExtent l="0" t="0" r="0" b="0"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3601859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009256" cy="3185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79.47pt;height:25.08pt;mso-wrap-distance-left:0.00pt;mso-wrap-distance-top:0.00pt;mso-wrap-distance-right:0.00pt;mso-wrap-distance-bottom:0.00pt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2339" w:type="dxa"/>
          </w:tcPr>
          <w:p w14:paraId="38EBADC8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Desarrolladora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5E504F6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SAP 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4ABE397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Microsoft Corporation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628641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Odoo S.A. / Comunidad Odoo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26479FA0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Modalidad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9E9A54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/ Suscripción RISE with SAP / On-Premise)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31E848C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por usuario/módulo)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DEF5B9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Libre (GNU Lesser General Public License v3 - LGPLv3)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343A1EDA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Arquitectura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7BD87054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In-Memory Database (SAP HANA) / Arquitectura de Nube Modular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2866E8E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Basada en Nube (Azure Native / Modular / Microservicios)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8E7733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Modular / Cliente-Servidor Web (Python / PostgreSQL)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39" w:type="dxa"/>
          </w:tcPr>
          <w:p w14:paraId="02E026DC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Características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5523B0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ERP de última generación orientado a grandes empresas. Procesa analítica y operaciones transaccionales en tiempo real en memoria, con módulos para finanzas, cadena de suministro, fabricación y ventas.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69FB840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ERP escalable para medianas y grandes empresas. Total integración con el ecosistema Microsoft (Office, Azure, Power Platform), gestión financiera global, logística avanzada y fabricación predictiva.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39" w:type="dxa"/>
          </w:tcPr>
          <w:p w14:paraId="064A642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ERP totalmente modular de código abierto. Cubre contabilidad, ventas, inventario, facturación electrónica y fabricación. Permite instalar solo los módulos necesarios y personalizar el código fuente según las necesidades.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42B6CCC1">
      <w:pPr>
        <w:pBdr/>
        <w:shd w:val="nil" w:color="auto"/>
        <w:spacing/>
        <w:ind/>
        <w:rPr/>
      </w:pPr>
      <w:r>
        <w:br w:type="page" w:clear="all"/>
      </w:r>
      <w:r/>
    </w:p>
    <w:p w14:paraId="7C1BA9FA">
      <w:pPr>
        <w:pStyle w:val="848"/>
        <w:numPr>
          <w:ilvl w:val="0"/>
          <w:numId w:val="10"/>
        </w:numPr>
        <w:pBdr/>
        <w:spacing/>
        <w:ind/>
        <w:rPr/>
      </w:pPr>
      <w:r/>
      <w:bookmarkStart w:id="5" w:name="_Toc5"/>
      <w:r/>
      <w:r>
        <w:t xml:space="preserve">CRM (Customer Relationship Management)</w:t>
      </w:r>
      <w:r/>
      <w:bookmarkEnd w:id="5"/>
      <w:r/>
      <w:r/>
    </w:p>
    <w:tbl>
      <w:tblPr>
        <w:tblStyle w:val="72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84"/>
        <w:gridCol w:w="2085"/>
        <w:gridCol w:w="2157"/>
        <w:gridCol w:w="3129"/>
      </w:tblGrid>
      <w:tr>
        <w:trPr/>
        <w:tc>
          <w:tcPr>
            <w:tcBorders/>
            <w:tcW w:w="1984" w:type="dxa"/>
          </w:tcPr>
          <w:p w14:paraId="40D26504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0763C1C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Salesforce Sales &amp; Service Cloud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7DC7908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HubSpot CRM (Enterprise)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5C04E5C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SuiteCRM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480"/>
        </w:trPr>
        <w:tc>
          <w:tcPr>
            <w:tcBorders/>
            <w:tcW w:w="1984" w:type="dxa"/>
          </w:tcPr>
          <w:p w14:paraId="4C7A9D1C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3515B729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7C39D88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00ECE57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Software Libre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2E792109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Logo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1C33CBD4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61988" cy="354491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0099239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61987" cy="3544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99.37pt;height:27.91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31134E53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56706" cy="628353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913788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56705" cy="6283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98.95pt;height:49.48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690F1C5E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886304" cy="427694"/>
                      <wp:effectExtent l="0" t="0" r="0" b="0"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0721316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886303" cy="42769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148.53pt;height:33.68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</w:tcPr>
          <w:p w14:paraId="71B60506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Desarrolladora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57B505B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Salesforce, Inc.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60FC444A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HubSpot, Inc.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150AA32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SalesAgility / Comunidad SuiteCRM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72056FB2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Modalidad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1915A8D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/ Suscripción mensual por usuario)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290A018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por niveles de uso)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626D7AD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Libre (GNU Affero General Public License - AGPLv3)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1D780AA5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Arquitectura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65064F4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Nube Multitenant (Multi-inquilino) / API-First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0191A5F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Basada en Nube (Cloud SaaS)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69AAC1B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Cliente-Servidor Web (PHP / MySQL / MariaDB)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2BE5BF06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Características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7F835A5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CRM de referencia mundial. Automatización de fuerza de ventas, gestión de embudos (pipelines), omnicanalidad en atención al cliente, IA generativa y analítica predictiva incorporada (Einstein AI).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69E971F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Plataforma centrada en estrategias de Inbound Marketing, seguimiento de prospectos, automatización de correo electrónico, gestión del ciclo de vida del cliente y herramientas de mesa de ayuda (Help Desk).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291BBED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Bifurcación (fork) de código abierto de SugarCRM. Incluye módulos para gestión de cuentas, clientes potenciales, campañas de marketing, presupuestos, contratos y portal de atención al cliente sin límites de usuarios.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68452CEB">
      <w:pPr>
        <w:pBdr/>
        <w:shd w:val="nil"/>
        <w:spacing/>
        <w:ind/>
        <w:rPr/>
      </w:pPr>
      <w:r>
        <w:br w:type="page" w:clear="all"/>
      </w:r>
      <w:r/>
      <w:r/>
    </w:p>
    <w:p w14:paraId="4850619F">
      <w:pPr>
        <w:pStyle w:val="848"/>
        <w:numPr>
          <w:ilvl w:val="0"/>
          <w:numId w:val="11"/>
        </w:numPr>
        <w:pBdr/>
        <w:spacing/>
        <w:ind/>
        <w:rPr/>
      </w:pPr>
      <w:r/>
      <w:bookmarkStart w:id="6" w:name="_Toc6"/>
      <w:r/>
      <w:r>
        <w:t xml:space="preserve">DSS (Decision Support System)</w:t>
      </w:r>
      <w:r/>
      <w:bookmarkEnd w:id="6"/>
      <w:r/>
      <w:r/>
    </w:p>
    <w:tbl>
      <w:tblPr>
        <w:tblStyle w:val="72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84"/>
        <w:gridCol w:w="2085"/>
        <w:gridCol w:w="2157"/>
        <w:gridCol w:w="3129"/>
      </w:tblGrid>
      <w:tr>
        <w:trPr/>
        <w:tc>
          <w:tcPr>
            <w:tcBorders/>
            <w:tcW w:w="1984" w:type="dxa"/>
          </w:tcPr>
          <w:p w14:paraId="22E0B3D2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7D029897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Tableau Server / Desktop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346E87A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Qlik Sense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1F369FE9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Apache Superset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480"/>
        </w:trPr>
        <w:tc>
          <w:tcPr>
            <w:tcBorders/>
            <w:tcW w:w="1984" w:type="dxa"/>
          </w:tcPr>
          <w:p w14:paraId="1FC034D9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36D26C3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56A80CE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0AB08DB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Software Libre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17D86CDE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Logo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72F0EE79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8307" cy="868307"/>
                      <wp:effectExtent l="0" t="0" r="0" b="0"/>
                      <wp:docPr id="1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285097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868307" cy="86830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68.37pt;height:68.37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22D24403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02395" cy="781556"/>
                      <wp:effectExtent l="0" t="0" r="0" b="0"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7236998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02394" cy="78155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94.68pt;height:61.54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/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374154EA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81556" cy="781556"/>
                      <wp:effectExtent l="0" t="0" r="0" b="0"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160154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781556" cy="78155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61.54pt;height:61.54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</w:tcPr>
          <w:p w14:paraId="7ACEC8E0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Desarrolladora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0C3ADCD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Salesforce, Inc.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6B25B51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QlikTech International AB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68D5C1E9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Apache Software Foundation / Comunidad Open Source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400AE0ED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Modalidad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0DAE611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(Suscripción por rol de usuario)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237BE91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Cloud / Licencia On-Premise)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60D5566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Libre (Apache License 2.0)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56E76593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Arquitectura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6C662AA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Cliente-Servidor / Cloud (Tableau Cloud) / Motor VizQL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10E2F47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Motor Asociativo In-Memory / Cloud-Native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5AA1820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Basada en Nube / Contenedores (Python / React / SQLAlchemy)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326A9F28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Características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16222F2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Herramienta visual e interactiva para la toma de decisiones. Permite conectar fuentes heterogéneas, realizar análisis exploratorio rápido, simulación de variables en tiempo real y cuadros de mando interactivos.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57" w:type="dxa"/>
          </w:tcPr>
          <w:p w14:paraId="346224F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Motor asociativo único que permite explora todas las relaciones entre datos sin restricciones predefinidas. Incluye analítica conversacional, alertas automatizadas y asistencia para decisiones basadas en IA.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29" w:type="dxa"/>
          </w:tcPr>
          <w:p w14:paraId="358F9E84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Plataforma moderna de exploración de datos y construcción de dashboards. Compatible con prácticamente cualquier motor de base de datos SQL, con una interfaz intuitiva para filtrado dinámico, creación de gráficos avanzados y análisis exploratorio.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4A8E7BDF">
      <w:pPr>
        <w:pBdr/>
        <w:shd w:val="nil"/>
        <w:spacing/>
        <w:ind/>
        <w:rPr/>
      </w:pPr>
      <w:r>
        <w:br w:type="page" w:clear="all"/>
      </w:r>
      <w:r/>
      <w:r/>
    </w:p>
    <w:p w14:paraId="679142A1">
      <w:pPr>
        <w:pStyle w:val="848"/>
        <w:numPr>
          <w:ilvl w:val="0"/>
          <w:numId w:val="12"/>
        </w:numPr>
        <w:pBdr/>
        <w:spacing/>
        <w:ind/>
        <w:rPr/>
      </w:pPr>
      <w:r/>
      <w:bookmarkStart w:id="7" w:name="_Toc7"/>
      <w:r>
        <w:t xml:space="preserve">EIS (Executive Information System)</w:t>
      </w:r>
      <w:r/>
      <w:bookmarkEnd w:id="7"/>
      <w:r/>
      <w:r/>
    </w:p>
    <w:tbl>
      <w:tblPr>
        <w:tblStyle w:val="72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84"/>
        <w:gridCol w:w="2085"/>
        <w:gridCol w:w="2309"/>
        <w:gridCol w:w="2977"/>
      </w:tblGrid>
      <w:tr>
        <w:trPr/>
        <w:tc>
          <w:tcPr>
            <w:tcBorders/>
            <w:tcW w:w="1984" w:type="dxa"/>
          </w:tcPr>
          <w:p w14:paraId="34469EDE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576E6CB1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SAP BusinessObjects Business Intelligence (BI)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309" w:type="dxa"/>
          </w:tcPr>
          <w:p w14:paraId="4E56ACB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MicroStrategy Analytics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372C763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Metabase</w:t>
            </w:r>
            <w:r>
              <w:rPr>
                <w:sz w:val="28"/>
                <w:szCs w:val="28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480"/>
        </w:trPr>
        <w:tc>
          <w:tcPr>
            <w:tcBorders/>
            <w:tcW w:w="1984" w:type="dxa"/>
          </w:tcPr>
          <w:p w14:paraId="2BF56848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17A91A4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1A83D01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3304126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Software Libre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5F303DAF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Logo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536AA4E0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264234" cy="632117"/>
                      <wp:effectExtent l="0" t="0" r="0" b="0"/>
                      <wp:docPr id="2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1554993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264234" cy="63211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99.55pt;height:49.77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7B455547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183345" cy="191262"/>
                      <wp:effectExtent l="0" t="0" r="0" b="0"/>
                      <wp:docPr id="2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5589015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183344" cy="19126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93.18pt;height:15.06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57237028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628487" cy="813092"/>
                      <wp:effectExtent l="0" t="0" r="0" b="0"/>
                      <wp:docPr id="2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7913064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628487" cy="81309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128.23pt;height:64.02pt;mso-wrap-distance-left:0.00pt;mso-wrap-distance-top:0.00pt;mso-wrap-distance-right:0.00pt;mso-wrap-distance-bottom:0.00pt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</w:tcPr>
          <w:p w14:paraId="551FC242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Desarrolladora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66E4B6E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SAP 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7B466A3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MicroStrategy Incorporated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197A2C6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Metabase, Inc. / Comunidad Open Source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02E22E73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Modalidad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2B5E303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(Licencia Empresarial Server/User)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38A187F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/ Licencia por capacidad de servidor)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5DBD92A9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Libre (GNU Affero General Public License - AGPLv3)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0B535DF6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Arquitectura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5E0C9C7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Cliente-Servidor Empresarial Multi-capa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262B5D1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Arquitectura de Microservicios / Nube Empresarial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5D08124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Web App ligera (Clojure / React / Docker)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50BE95E4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Características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2E0A7F1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Suite orientada a ejecutivos para monitoreo del rendimiento corporativo. Proporciona dashboards estratégicos, alertas automáticas, vistas consolidadas para alta dirección y desgloses profundos desde la métrica general al dato transaccional.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3BF17A91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Solución BI/EIS de nivel corporativo enfocada en directivos. Ofrece "Dossiers" e informes estratégicos altamente visuales, aplicaciones móviles para ejecutivos, gobernanza rigurosa de datos y motor de analítica avanzada.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52245C04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Herramienta visual de consulta y monitoreo corporativo. Permite a los ejecutivos visualizar indicadores clave de rendimiento (KPIs), configurar pulso de métricas por email/Slack y explorar tableros con interfaz limpia y sin necesidad de escribir código SQL.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5FAD48AD">
      <w:pPr>
        <w:pBdr/>
        <w:shd w:val="nil"/>
        <w:spacing/>
        <w:ind/>
        <w:rPr/>
      </w:pPr>
      <w:r>
        <w:br w:type="page" w:clear="all"/>
      </w:r>
      <w:r/>
      <w:r/>
    </w:p>
    <w:p w14:paraId="74CE5F55">
      <w:pPr>
        <w:pStyle w:val="848"/>
        <w:numPr>
          <w:ilvl w:val="0"/>
          <w:numId w:val="14"/>
        </w:numPr>
        <w:pBdr/>
        <w:spacing/>
        <w:ind/>
        <w:rPr/>
      </w:pPr>
      <w:r/>
      <w:bookmarkStart w:id="8" w:name="_Toc8"/>
      <w:r>
        <w:t xml:space="preserve">BSC (Balanced Scorecard)</w:t>
      </w:r>
      <w:r/>
      <w:bookmarkEnd w:id="8"/>
      <w:r/>
      <w:r/>
    </w:p>
    <w:tbl>
      <w:tblPr>
        <w:tblStyle w:val="72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84"/>
        <w:gridCol w:w="2085"/>
        <w:gridCol w:w="2309"/>
        <w:gridCol w:w="2977"/>
      </w:tblGrid>
      <w:tr>
        <w:trPr/>
        <w:tc>
          <w:tcPr>
            <w:tcBorders/>
            <w:tcW w:w="1984" w:type="dxa"/>
          </w:tcPr>
          <w:p w14:paraId="2814203C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77FB14A6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ESM Software (Executestrat)</w:t>
            </w:r>
            <w:r>
              <w:rPr>
                <w:sz w:val="24"/>
                <w:szCs w:val="24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309" w:type="dxa"/>
          </w:tcPr>
          <w:p w14:paraId="4E7EE9C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ClearPoint Strategy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2B6C612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BSC-Designer Community / Open-source Balanced Scorecard Frameworks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480"/>
        </w:trPr>
        <w:tc>
          <w:tcPr>
            <w:tcBorders/>
            <w:tcW w:w="1984" w:type="dxa"/>
          </w:tcPr>
          <w:p w14:paraId="29CFE4AD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4DE7824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3A5BF20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20381BC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Software Libre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265"/>
        </w:trPr>
        <w:tc>
          <w:tcPr>
            <w:tcBorders/>
            <w:tcW w:w="1984" w:type="dxa"/>
          </w:tcPr>
          <w:p w14:paraId="070522D0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Logo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583C511D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08392" cy="1308392"/>
                      <wp:effectExtent l="0" t="0" r="0" b="0"/>
                      <wp:docPr id="2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5515022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308391" cy="13083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103.02pt;height:103.02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4F6BE718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91907" cy="654196"/>
                      <wp:effectExtent l="0" t="0" r="0" b="0"/>
                      <wp:docPr id="2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9092407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391906" cy="6541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109.60pt;height:51.51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35612E3E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428750" cy="1447800"/>
                      <wp:effectExtent l="0" t="0" r="0" b="0"/>
                      <wp:docPr id="2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6271314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428750" cy="14477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112.50pt;height:114.00pt;mso-wrap-distance-left:0.00pt;mso-wrap-distance-top:0.00pt;mso-wrap-distance-right:0.00pt;mso-wrap-distance-bottom:0.00pt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</w:tcPr>
          <w:p w14:paraId="1309A711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Desarrolladora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7EFC08C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ESM Software Group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17E8853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ClearPoint Strategy LLC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18D2885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AKS-Labs / Comunidad de desarrollo libre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4D8D3D50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Modalidad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272D9E9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Cloud)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4F28898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/ Licencia por capacidad de servidor)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11A3470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en nube (con versión / plantilla de uso libre y proyectos de código abierto equivalentes como Open HR/BSC modules)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6293D13C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Arquitectura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6B3ECA6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Basada en Nube (SaaS)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6037A38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Basada en Nube (Cloud SaaS)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783D47C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Aplicación Web / Escritorio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57DEC6D1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Características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40CA808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Plataforma específicamente diseñada bajo la metodología Balanced Scorecard de Kaplan y Norton. Permite estructurar mapas estratégicos, alinear iniciativas con objetivos, realizar seguimiento de KPIs por perspectivas e integrar revisiones de rendimiento dire</w:t>
            </w:r>
            <w:r>
              <w:rPr>
                <w:sz w:val="24"/>
                <w:szCs w:val="24"/>
              </w:rPr>
              <w:t xml:space="preserve">ctivo.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3A1068A4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de gestión estratégica alineado con el Cuadro de Mando Integral. Automatiza la recolección de métricas, la creación de informes de estrategia, la vinculación de proyectos a objetivos y la generación de mapas de calor para evaluar el cumplimiento de</w:t>
            </w:r>
            <w:r>
              <w:rPr>
                <w:sz w:val="24"/>
                <w:szCs w:val="24"/>
              </w:rPr>
              <w:t xml:space="preserve"> metas.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56FFB6C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Herramienta para la estructuración de mapas estratégicos, definición de indicadores cuantitativos/cualitativos, asignación de pesos a perspectivas estratégicas y evaluación del impacto de las iniciativas operacionales.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16B4223A">
      <w:pPr>
        <w:pBdr/>
        <w:shd w:val="nil"/>
        <w:spacing/>
        <w:ind/>
        <w:rPr/>
      </w:pPr>
      <w:r>
        <w:br w:type="page" w:clear="all"/>
      </w:r>
      <w:r/>
      <w:r/>
    </w:p>
    <w:p w14:paraId="099F45B3">
      <w:pPr>
        <w:pStyle w:val="848"/>
        <w:numPr>
          <w:ilvl w:val="0"/>
          <w:numId w:val="16"/>
        </w:numPr>
        <w:pBdr/>
        <w:spacing/>
        <w:ind/>
        <w:rPr/>
      </w:pPr>
      <w:r/>
      <w:bookmarkStart w:id="9" w:name="_Toc9"/>
      <w:r>
        <w:t xml:space="preserve">HRM (Human Resource Management)</w:t>
      </w:r>
      <w:r/>
      <w:bookmarkEnd w:id="9"/>
      <w:r/>
      <w:r/>
    </w:p>
    <w:tbl>
      <w:tblPr>
        <w:tblStyle w:val="72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84"/>
        <w:gridCol w:w="2085"/>
        <w:gridCol w:w="2309"/>
        <w:gridCol w:w="2977"/>
      </w:tblGrid>
      <w:tr>
        <w:trPr/>
        <w:tc>
          <w:tcPr>
            <w:tcBorders/>
            <w:tcW w:w="1984" w:type="dxa"/>
          </w:tcPr>
          <w:p w14:paraId="582EEBE7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6162A52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SAP SuccessFactors</w:t>
            </w:r>
            <w:r>
              <w:rPr>
                <w:sz w:val="24"/>
                <w:szCs w:val="24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309" w:type="dxa"/>
          </w:tcPr>
          <w:p w14:paraId="76C1F40F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Workday Human Capital Management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1C8F46C5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OrangeHRM (Open Source Edition)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480"/>
        </w:trPr>
        <w:tc>
          <w:tcPr>
            <w:tcBorders/>
            <w:tcW w:w="1984" w:type="dxa"/>
          </w:tcPr>
          <w:p w14:paraId="59AFB0FA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721EF5AE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48E8CC9B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Comercial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2192DF5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Software Libre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422"/>
        </w:trPr>
        <w:tc>
          <w:tcPr>
            <w:tcBorders/>
            <w:tcW w:w="1984" w:type="dxa"/>
          </w:tcPr>
          <w:p w14:paraId="3E9F0ACC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Logo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55B2CB1D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152860" cy="331112"/>
                      <wp:effectExtent l="0" t="0" r="0" b="0"/>
                      <wp:docPr id="2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6457538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152860" cy="33111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5" o:spid="_x0000_s25" type="#_x0000_t75" style="width:90.78pt;height:26.07pt;mso-wrap-distance-left:0.00pt;mso-wrap-distance-top:0.00pt;mso-wrap-distance-right:0.00pt;mso-wrap-distance-bottom:0.00pt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64E97B00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5745" cy="667872"/>
                      <wp:effectExtent l="0" t="0" r="0" b="0"/>
                      <wp:docPr id="2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258558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335744" cy="66787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6" o:spid="_x0000_s26" type="#_x0000_t75" style="width:105.18pt;height:52.59pt;mso-wrap-distance-left:0.00pt;mso-wrap-distance-top:0.00pt;mso-wrap-distance-right:0.00pt;mso-wrap-distance-bottom:0.00pt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1EEE5966">
            <w:pPr>
              <w:pBdr/>
              <w:spacing/>
              <w:ind/>
              <w:jc w:val="center"/>
              <w:rPr>
                <w:highlight w:val="none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669755" cy="423263"/>
                      <wp:effectExtent l="0" t="0" r="0" b="0"/>
                      <wp:docPr id="2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7364426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669754" cy="42326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7" o:spid="_x0000_s27" type="#_x0000_t75" style="width:131.48pt;height:33.33pt;mso-wrap-distance-left:0.00pt;mso-wrap-distance-top:0.00pt;mso-wrap-distance-right:0.00pt;mso-wrap-distance-bottom:0.00pt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4"/>
                <w:szCs w:val="24"/>
              </w:rPr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</w:tcPr>
          <w:p w14:paraId="7D881215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Desarrolladora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40A8E820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SAP 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29F5E2D8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Workday, Inc.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3F2BEF79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OrangeHRM Inc. / Comunidad Open Source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1CCA86E6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Modalidad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3E2445FD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 por empleado/mes)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2EFE30A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Propietario (SaaS)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0B8449B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Software Libre (GNU General Public License - GPLv3)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4DE92C01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Arquitectura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29B48C7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Nube Nativa (Cloud SaaS)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5CC659F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Nube Unificada (Single-Codebase Multitenant Cloud)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509AEDB6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Cliente-Servidor Web (PHP / MySQL)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984" w:type="dxa"/>
          </w:tcPr>
          <w:p w14:paraId="29FF3653">
            <w:pPr>
              <w:pBdr/>
              <w:spacing/>
              <w:ind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 xml:space="preserve">Características</w:t>
            </w:r>
            <w:r>
              <w:rPr>
                <w:b/>
                <w:bCs/>
                <w:color w:val="auto"/>
                <w:sz w:val="24"/>
                <w:szCs w:val="24"/>
              </w:rPr>
            </w:r>
            <w:r>
              <w:rPr>
                <w:b/>
                <w:bCs/>
                <w:color w:val="auto"/>
                <w:sz w:val="24"/>
                <w:szCs w:val="24"/>
              </w:rPr>
            </w:r>
          </w:p>
        </w:tc>
        <w:tc>
          <w:tcPr>
            <w:tcBorders/>
            <w:tcW w:w="2085" w:type="dxa"/>
          </w:tcPr>
          <w:p w14:paraId="0D38BD2C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Suite HCM (Human Capital Management) completa en la nube. Incluye gestión de nóminas globales, adquisición de talento, onboarding, gestión del desempeño, desarrollo de competencias, análisis de plantilla e inteligencia de planificación de personal.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09" w:type="dxa"/>
          </w:tcPr>
          <w:p w14:paraId="4290F293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Plataforma global de gestión del talento y RRHH. Diseñada con una única base de datos para combinar analítica de personal, nóminas, control de ausencias, planificación de compensaciones e itinerarios de aprendizaje.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977" w:type="dxa"/>
          </w:tcPr>
          <w:p w14:paraId="48BB7292"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Sistema de gestión de recursos humanos de código abierto muy extendido. Ofrece módulos para el expediente central del empleado, gestión de permisos y vacaciones, control de asistencia/horarios, evaluación del rendimiento y portal de autoservicio para los tr</w:t>
            </w:r>
            <w:r>
              <w:rPr>
                <w:sz w:val="24"/>
                <w:szCs w:val="24"/>
              </w:rPr>
              <w:t xml:space="preserve">abajadores.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 w14:paraId="0F8D0B25">
      <w:pPr>
        <w:pBdr/>
        <w:spacing/>
        <w:ind/>
        <w:rPr/>
      </w:pPr>
      <w:r/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 Sans">
    <w:panose1 w:val="020B060603050402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194BE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5E27C9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3B12D9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12F4FB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F14A7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711FEA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231982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0DE897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2F74021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0137B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0DEA2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B6DEA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5B4826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61CCD0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61BB9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6733D5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6"/>
    <w:next w:val="906"/>
    <w:link w:val="8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6"/>
    <w:next w:val="90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6"/>
    <w:next w:val="906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6"/>
    <w:next w:val="90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6"/>
    <w:next w:val="906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6"/>
    <w:next w:val="90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6"/>
    <w:next w:val="906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6"/>
    <w:next w:val="906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6"/>
    <w:next w:val="906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character" w:styleId="857">
    <w:name w:val="Heading 1 Char"/>
    <w:basedOn w:val="85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8">
    <w:name w:val="Heading 2 Char"/>
    <w:basedOn w:val="85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9">
    <w:name w:val="Heading 3 Char"/>
    <w:basedOn w:val="85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0">
    <w:name w:val="Heading 4 Char"/>
    <w:basedOn w:val="85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1">
    <w:name w:val="Heading 5 Char"/>
    <w:basedOn w:val="85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2">
    <w:name w:val="Heading 6 Char"/>
    <w:basedOn w:val="85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Title"/>
    <w:basedOn w:val="906"/>
    <w:next w:val="906"/>
    <w:link w:val="8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7">
    <w:name w:val="Title Char"/>
    <w:basedOn w:val="856"/>
    <w:link w:val="8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6"/>
    <w:next w:val="906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6"/>
    <w:next w:val="906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6"/>
    <w:next w:val="906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6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856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6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906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906"/>
    <w:next w:val="9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6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856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6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856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85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6"/>
    <w:next w:val="906"/>
    <w:uiPriority w:val="39"/>
    <w:unhideWhenUsed/>
    <w:pPr>
      <w:pBdr/>
      <w:spacing w:after="100"/>
      <w:ind/>
    </w:pPr>
  </w:style>
  <w:style w:type="paragraph" w:styleId="895">
    <w:name w:val="toc 2"/>
    <w:basedOn w:val="906"/>
    <w:next w:val="906"/>
    <w:uiPriority w:val="39"/>
    <w:unhideWhenUsed/>
    <w:pPr>
      <w:pBdr/>
      <w:spacing w:after="100"/>
      <w:ind w:left="220"/>
    </w:pPr>
  </w:style>
  <w:style w:type="paragraph" w:styleId="896">
    <w:name w:val="toc 3"/>
    <w:basedOn w:val="906"/>
    <w:next w:val="906"/>
    <w:uiPriority w:val="39"/>
    <w:unhideWhenUsed/>
    <w:pPr>
      <w:pBdr/>
      <w:spacing w:after="100"/>
      <w:ind w:left="440"/>
    </w:pPr>
  </w:style>
  <w:style w:type="paragraph" w:styleId="897">
    <w:name w:val="toc 4"/>
    <w:basedOn w:val="906"/>
    <w:next w:val="906"/>
    <w:uiPriority w:val="39"/>
    <w:unhideWhenUsed/>
    <w:pPr>
      <w:pBdr/>
      <w:spacing w:after="100"/>
      <w:ind w:left="660"/>
    </w:pPr>
  </w:style>
  <w:style w:type="paragraph" w:styleId="898">
    <w:name w:val="toc 5"/>
    <w:basedOn w:val="906"/>
    <w:next w:val="906"/>
    <w:uiPriority w:val="39"/>
    <w:unhideWhenUsed/>
    <w:pPr>
      <w:pBdr/>
      <w:spacing w:after="100"/>
      <w:ind w:left="880"/>
    </w:pPr>
  </w:style>
  <w:style w:type="paragraph" w:styleId="899">
    <w:name w:val="toc 6"/>
    <w:basedOn w:val="906"/>
    <w:next w:val="906"/>
    <w:uiPriority w:val="39"/>
    <w:unhideWhenUsed/>
    <w:pPr>
      <w:pBdr/>
      <w:spacing w:after="100"/>
      <w:ind w:left="1100"/>
    </w:pPr>
  </w:style>
  <w:style w:type="paragraph" w:styleId="900">
    <w:name w:val="toc 7"/>
    <w:basedOn w:val="906"/>
    <w:next w:val="906"/>
    <w:uiPriority w:val="39"/>
    <w:unhideWhenUsed/>
    <w:pPr>
      <w:pBdr/>
      <w:spacing w:after="100"/>
      <w:ind w:left="1320"/>
    </w:pPr>
  </w:style>
  <w:style w:type="paragraph" w:styleId="901">
    <w:name w:val="toc 8"/>
    <w:basedOn w:val="906"/>
    <w:next w:val="906"/>
    <w:uiPriority w:val="39"/>
    <w:unhideWhenUsed/>
    <w:pPr>
      <w:pBdr/>
      <w:spacing w:after="100"/>
      <w:ind w:left="1540"/>
    </w:pPr>
  </w:style>
  <w:style w:type="paragraph" w:styleId="902">
    <w:name w:val="toc 9"/>
    <w:basedOn w:val="906"/>
    <w:next w:val="906"/>
    <w:uiPriority w:val="39"/>
    <w:unhideWhenUsed/>
    <w:pPr>
      <w:pBdr/>
      <w:spacing w:after="100"/>
      <w:ind w:left="1760"/>
    </w:pPr>
  </w:style>
  <w:style w:type="character" w:styleId="903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904">
    <w:name w:val="TOC Heading"/>
    <w:uiPriority w:val="39"/>
    <w:unhideWhenUsed/>
    <w:pPr>
      <w:pBdr/>
      <w:spacing/>
      <w:ind/>
    </w:pPr>
  </w:style>
  <w:style w:type="paragraph" w:styleId="905">
    <w:name w:val="table of figures"/>
    <w:basedOn w:val="906"/>
    <w:next w:val="906"/>
    <w:uiPriority w:val="99"/>
    <w:unhideWhenUsed/>
    <w:pPr>
      <w:pBdr/>
      <w:spacing w:after="0" w:afterAutospacing="0"/>
      <w:ind/>
    </w:pPr>
  </w:style>
  <w:style w:type="paragraph" w:styleId="906" w:default="1">
    <w:name w:val="Normal"/>
    <w:qFormat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paragraph" w:styleId="909">
    <w:name w:val="No Spacing"/>
    <w:basedOn w:val="906"/>
    <w:uiPriority w:val="1"/>
    <w:qFormat/>
    <w:pPr>
      <w:pBdr/>
      <w:spacing w:after="0" w:line="240" w:lineRule="auto"/>
      <w:ind/>
    </w:pPr>
  </w:style>
  <w:style w:type="paragraph" w:styleId="910">
    <w:name w:val="List Paragraph"/>
    <w:basedOn w:val="90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jpg"/><Relationship Id="rId34" Type="http://schemas.openxmlformats.org/officeDocument/2006/relationships/image" Target="media/image25.png"/><Relationship Id="rId35" Type="http://schemas.openxmlformats.org/officeDocument/2006/relationships/image" Target="media/image26.jpg"/><Relationship Id="rId36" Type="http://schemas.openxmlformats.org/officeDocument/2006/relationships/image" Target="media/image27.png"/><Relationship Id="rId37" Type="http://schemas.openxmlformats.org/officeDocument/2006/relationships/image" Target="media/image2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3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>
    <w:name w:val="Table Grid"/>
    <w:basedOn w:val="13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>
    <w:name w:val="Table Grid Light"/>
    <w:basedOn w:val="13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>
    <w:name w:val="Plain Table 1"/>
    <w:basedOn w:val="13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Plain Table 2"/>
    <w:basedOn w:val="13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Plain Table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Plain Table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Plain Table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Grid Table 1 Light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Grid Table 1 Light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Grid Table 1 Light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Grid Table 1 Light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Grid Table 1 Light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Grid Table 1 Light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Grid Table 1 Light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Grid Table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Grid Table 2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Grid Table 2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Grid Table 2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Grid Table 2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Grid Table 2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2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3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3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3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3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3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3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4"/>
    <w:basedOn w:val="13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4 - Accent 1"/>
    <w:basedOn w:val="13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4 - Accent 2"/>
    <w:basedOn w:val="13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4 - Accent 3"/>
    <w:basedOn w:val="13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4 - Accent 4"/>
    <w:basedOn w:val="13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4 - Accent 5"/>
    <w:basedOn w:val="13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4 - Accent 6"/>
    <w:basedOn w:val="13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5 Dark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5 Dark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5 Dark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5 Dark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5 Dark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5 Dark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5 Dark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6 Colorful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6 Colorful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6 Colorful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6 Colorful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6 Colorful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6 Colorful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6 Colorful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7 Colorful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7 Colorful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7 Colorful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7 Colorful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7 Colorful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7 Colorful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7 Colorful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List Table 1 Light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List Table 1 Light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List Table 1 Light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List Table 1 Light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List Table 1 Light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List Table 1 Light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List Table 1 Light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List Table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List Table 2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List Table 2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List Table 2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List Table 2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List Table 2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2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3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3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3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3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3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3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4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4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4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4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4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4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5 Dark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5 Dark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5 Dark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5 Dark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5 Dark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5 Dark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5 Dark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6 Colorful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6 Colorful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6 Colorful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6 Colorful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6 Colorful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6 Colorful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6 Colorful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7 Colorful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7 Colorful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7 Colorful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7 Colorful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7 Colorful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7 Colorful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7 Colorful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ned - Accent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ned - Accent 1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ned - Accent 2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ned - Accent 3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ned - Accent 4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ned - Accent 5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ned - Accent 6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Bordered &amp; Lined - Accent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Bordered &amp; Lined - Accent 1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Bordered &amp; Lined - Accent 2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Bordered &amp; Lined - Accent 3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Bordered &amp; Lined - Accent 4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Bordered &amp; Lined - Accent 5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Bordered &amp; Lined - Accent 6"/>
    <w:basedOn w:val="13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Bordered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Bordered - Accent 1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Bordered - Accent 2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Bordered - Accent 3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Bordered - Accent 4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Bordered - Accent 5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Bordered - Accent 6"/>
    <w:basedOn w:val="13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04" w:default="1">
    <w:name w:val="Normal"/>
    <w:qFormat/>
    <w:pPr>
      <w:pBdr/>
      <w:spacing/>
      <w:ind/>
    </w:pPr>
  </w:style>
  <w:style w:type="paragraph" w:styleId="1505">
    <w:name w:val="Heading 1"/>
    <w:basedOn w:val="1504"/>
    <w:next w:val="1504"/>
    <w:link w:val="151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06">
    <w:name w:val="Heading 2"/>
    <w:basedOn w:val="1504"/>
    <w:next w:val="1504"/>
    <w:link w:val="151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07">
    <w:name w:val="Heading 3"/>
    <w:basedOn w:val="1504"/>
    <w:next w:val="1504"/>
    <w:link w:val="151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08">
    <w:name w:val="Heading 4"/>
    <w:basedOn w:val="1504"/>
    <w:next w:val="1504"/>
    <w:link w:val="151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09">
    <w:name w:val="Heading 5"/>
    <w:basedOn w:val="1504"/>
    <w:next w:val="1504"/>
    <w:link w:val="152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10">
    <w:name w:val="Heading 6"/>
    <w:basedOn w:val="1504"/>
    <w:next w:val="1504"/>
    <w:link w:val="152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11">
    <w:name w:val="Heading 7"/>
    <w:basedOn w:val="1504"/>
    <w:next w:val="1504"/>
    <w:link w:val="152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12">
    <w:name w:val="Heading 8"/>
    <w:basedOn w:val="1504"/>
    <w:next w:val="1504"/>
    <w:link w:val="152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13">
    <w:name w:val="Heading 9"/>
    <w:basedOn w:val="1504"/>
    <w:next w:val="1504"/>
    <w:link w:val="152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14" w:default="1">
    <w:name w:val="Default Paragraph Font"/>
    <w:uiPriority w:val="1"/>
    <w:semiHidden/>
    <w:unhideWhenUsed/>
    <w:pPr>
      <w:pBdr/>
      <w:spacing/>
      <w:ind/>
    </w:pPr>
  </w:style>
  <w:style w:type="numbering" w:styleId="1515" w:default="1">
    <w:name w:val="No List"/>
    <w:uiPriority w:val="99"/>
    <w:semiHidden/>
    <w:unhideWhenUsed/>
    <w:pPr>
      <w:pBdr/>
      <w:spacing/>
      <w:ind/>
    </w:pPr>
  </w:style>
  <w:style w:type="character" w:styleId="1516">
    <w:name w:val="Heading 1 Char"/>
    <w:basedOn w:val="1514"/>
    <w:link w:val="15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7">
    <w:name w:val="Heading 2 Char"/>
    <w:basedOn w:val="1514"/>
    <w:link w:val="15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8">
    <w:name w:val="Heading 3 Char"/>
    <w:basedOn w:val="1514"/>
    <w:link w:val="15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19">
    <w:name w:val="Heading 4 Char"/>
    <w:basedOn w:val="1514"/>
    <w:link w:val="150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20">
    <w:name w:val="Heading 5 Char"/>
    <w:basedOn w:val="1514"/>
    <w:link w:val="15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21">
    <w:name w:val="Heading 6 Char"/>
    <w:basedOn w:val="1514"/>
    <w:link w:val="151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22">
    <w:name w:val="Heading 7 Char"/>
    <w:basedOn w:val="1514"/>
    <w:link w:val="151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23">
    <w:name w:val="Heading 8 Char"/>
    <w:basedOn w:val="1514"/>
    <w:link w:val="151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24">
    <w:name w:val="Heading 9 Char"/>
    <w:basedOn w:val="1514"/>
    <w:link w:val="15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25">
    <w:name w:val="Title"/>
    <w:basedOn w:val="1504"/>
    <w:next w:val="1504"/>
    <w:link w:val="152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26">
    <w:name w:val="Title Char"/>
    <w:basedOn w:val="1514"/>
    <w:link w:val="15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27">
    <w:name w:val="Subtitle"/>
    <w:basedOn w:val="1504"/>
    <w:next w:val="1504"/>
    <w:link w:val="152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28">
    <w:name w:val="Subtitle Char"/>
    <w:basedOn w:val="1514"/>
    <w:link w:val="152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29">
    <w:name w:val="Quote"/>
    <w:basedOn w:val="1504"/>
    <w:next w:val="1504"/>
    <w:link w:val="153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30">
    <w:name w:val="Quote Char"/>
    <w:basedOn w:val="1514"/>
    <w:link w:val="152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31">
    <w:name w:val="List Paragraph"/>
    <w:basedOn w:val="1504"/>
    <w:uiPriority w:val="34"/>
    <w:qFormat/>
    <w:pPr>
      <w:pBdr/>
      <w:spacing/>
      <w:ind w:left="720"/>
      <w:contextualSpacing w:val="true"/>
    </w:pPr>
  </w:style>
  <w:style w:type="character" w:styleId="1532">
    <w:name w:val="Intense Emphasis"/>
    <w:basedOn w:val="15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33">
    <w:name w:val="Intense Quote"/>
    <w:basedOn w:val="1504"/>
    <w:next w:val="1504"/>
    <w:link w:val="15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34">
    <w:name w:val="Intense Quote Char"/>
    <w:basedOn w:val="1514"/>
    <w:link w:val="153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35">
    <w:name w:val="Intense Reference"/>
    <w:basedOn w:val="15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36">
    <w:name w:val="No Spacing"/>
    <w:basedOn w:val="1504"/>
    <w:uiPriority w:val="1"/>
    <w:qFormat/>
    <w:pPr>
      <w:pBdr/>
      <w:spacing w:after="0" w:line="240" w:lineRule="auto"/>
      <w:ind/>
    </w:pPr>
  </w:style>
  <w:style w:type="character" w:styleId="1537">
    <w:name w:val="Subtle Emphasis"/>
    <w:basedOn w:val="15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38">
    <w:name w:val="Emphasis"/>
    <w:basedOn w:val="1514"/>
    <w:uiPriority w:val="20"/>
    <w:qFormat/>
    <w:pPr>
      <w:pBdr/>
      <w:spacing/>
      <w:ind/>
    </w:pPr>
    <w:rPr>
      <w:i/>
      <w:iCs/>
    </w:rPr>
  </w:style>
  <w:style w:type="character" w:styleId="1539">
    <w:name w:val="Strong"/>
    <w:basedOn w:val="1514"/>
    <w:uiPriority w:val="22"/>
    <w:qFormat/>
    <w:pPr>
      <w:pBdr/>
      <w:spacing/>
      <w:ind/>
    </w:pPr>
    <w:rPr>
      <w:b/>
      <w:bCs/>
    </w:rPr>
  </w:style>
  <w:style w:type="character" w:styleId="1540">
    <w:name w:val="Subtle Reference"/>
    <w:basedOn w:val="15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41">
    <w:name w:val="Book Title"/>
    <w:basedOn w:val="15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42">
    <w:name w:val="Header"/>
    <w:basedOn w:val="1504"/>
    <w:link w:val="154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43">
    <w:name w:val="Header Char"/>
    <w:basedOn w:val="1514"/>
    <w:link w:val="1542"/>
    <w:uiPriority w:val="99"/>
    <w:pPr>
      <w:pBdr/>
      <w:spacing/>
      <w:ind/>
    </w:pPr>
  </w:style>
  <w:style w:type="paragraph" w:styleId="1544">
    <w:name w:val="Footer"/>
    <w:basedOn w:val="1504"/>
    <w:link w:val="154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45">
    <w:name w:val="Footer Char"/>
    <w:basedOn w:val="1514"/>
    <w:link w:val="1544"/>
    <w:uiPriority w:val="99"/>
    <w:pPr>
      <w:pBdr/>
      <w:spacing/>
      <w:ind/>
    </w:pPr>
  </w:style>
  <w:style w:type="paragraph" w:styleId="1546">
    <w:name w:val="Caption"/>
    <w:basedOn w:val="1504"/>
    <w:next w:val="15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47">
    <w:name w:val="footnote text"/>
    <w:basedOn w:val="1504"/>
    <w:link w:val="15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48">
    <w:name w:val="Footnote Text Char"/>
    <w:basedOn w:val="1514"/>
    <w:link w:val="1547"/>
    <w:uiPriority w:val="99"/>
    <w:semiHidden/>
    <w:pPr>
      <w:pBdr/>
      <w:spacing/>
      <w:ind/>
    </w:pPr>
    <w:rPr>
      <w:sz w:val="20"/>
      <w:szCs w:val="20"/>
    </w:rPr>
  </w:style>
  <w:style w:type="character" w:styleId="1549">
    <w:name w:val="footnote reference"/>
    <w:basedOn w:val="1514"/>
    <w:uiPriority w:val="99"/>
    <w:semiHidden/>
    <w:unhideWhenUsed/>
    <w:pPr>
      <w:pBdr/>
      <w:spacing/>
      <w:ind/>
    </w:pPr>
    <w:rPr>
      <w:vertAlign w:val="superscript"/>
    </w:rPr>
  </w:style>
  <w:style w:type="paragraph" w:styleId="1550">
    <w:name w:val="endnote text"/>
    <w:basedOn w:val="1504"/>
    <w:link w:val="15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1">
    <w:name w:val="Endnote Text Char"/>
    <w:basedOn w:val="1514"/>
    <w:link w:val="1550"/>
    <w:uiPriority w:val="99"/>
    <w:semiHidden/>
    <w:pPr>
      <w:pBdr/>
      <w:spacing/>
      <w:ind/>
    </w:pPr>
    <w:rPr>
      <w:sz w:val="20"/>
      <w:szCs w:val="20"/>
    </w:rPr>
  </w:style>
  <w:style w:type="character" w:styleId="1552">
    <w:name w:val="endnote reference"/>
    <w:basedOn w:val="1514"/>
    <w:uiPriority w:val="99"/>
    <w:semiHidden/>
    <w:unhideWhenUsed/>
    <w:pPr>
      <w:pBdr/>
      <w:spacing/>
      <w:ind/>
    </w:pPr>
    <w:rPr>
      <w:vertAlign w:val="superscript"/>
    </w:rPr>
  </w:style>
  <w:style w:type="character" w:styleId="1553">
    <w:name w:val="Hyperlink"/>
    <w:basedOn w:val="15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54">
    <w:name w:val="FollowedHyperlink"/>
    <w:basedOn w:val="15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55">
    <w:name w:val="toc 1"/>
    <w:basedOn w:val="1504"/>
    <w:next w:val="1504"/>
    <w:uiPriority w:val="39"/>
    <w:unhideWhenUsed/>
    <w:pPr>
      <w:pBdr/>
      <w:spacing w:after="100"/>
      <w:ind/>
    </w:pPr>
  </w:style>
  <w:style w:type="paragraph" w:styleId="1556">
    <w:name w:val="toc 2"/>
    <w:basedOn w:val="1504"/>
    <w:next w:val="1504"/>
    <w:uiPriority w:val="39"/>
    <w:unhideWhenUsed/>
    <w:pPr>
      <w:pBdr/>
      <w:spacing w:after="100"/>
      <w:ind w:left="220"/>
    </w:pPr>
  </w:style>
  <w:style w:type="paragraph" w:styleId="1557">
    <w:name w:val="toc 3"/>
    <w:basedOn w:val="1504"/>
    <w:next w:val="1504"/>
    <w:uiPriority w:val="39"/>
    <w:unhideWhenUsed/>
    <w:pPr>
      <w:pBdr/>
      <w:spacing w:after="100"/>
      <w:ind w:left="440"/>
    </w:pPr>
  </w:style>
  <w:style w:type="paragraph" w:styleId="1558">
    <w:name w:val="toc 4"/>
    <w:basedOn w:val="1504"/>
    <w:next w:val="1504"/>
    <w:uiPriority w:val="39"/>
    <w:unhideWhenUsed/>
    <w:pPr>
      <w:pBdr/>
      <w:spacing w:after="100"/>
      <w:ind w:left="660"/>
    </w:pPr>
  </w:style>
  <w:style w:type="paragraph" w:styleId="1559">
    <w:name w:val="toc 5"/>
    <w:basedOn w:val="1504"/>
    <w:next w:val="1504"/>
    <w:uiPriority w:val="39"/>
    <w:unhideWhenUsed/>
    <w:pPr>
      <w:pBdr/>
      <w:spacing w:after="100"/>
      <w:ind w:left="880"/>
    </w:pPr>
  </w:style>
  <w:style w:type="paragraph" w:styleId="1560">
    <w:name w:val="toc 6"/>
    <w:basedOn w:val="1504"/>
    <w:next w:val="1504"/>
    <w:uiPriority w:val="39"/>
    <w:unhideWhenUsed/>
    <w:pPr>
      <w:pBdr/>
      <w:spacing w:after="100"/>
      <w:ind w:left="1100"/>
    </w:pPr>
  </w:style>
  <w:style w:type="paragraph" w:styleId="1561">
    <w:name w:val="toc 7"/>
    <w:basedOn w:val="1504"/>
    <w:next w:val="1504"/>
    <w:uiPriority w:val="39"/>
    <w:unhideWhenUsed/>
    <w:pPr>
      <w:pBdr/>
      <w:spacing w:after="100"/>
      <w:ind w:left="1320"/>
    </w:pPr>
  </w:style>
  <w:style w:type="paragraph" w:styleId="1562">
    <w:name w:val="toc 8"/>
    <w:basedOn w:val="1504"/>
    <w:next w:val="1504"/>
    <w:uiPriority w:val="39"/>
    <w:unhideWhenUsed/>
    <w:pPr>
      <w:pBdr/>
      <w:spacing w:after="100"/>
      <w:ind w:left="1540"/>
    </w:pPr>
  </w:style>
  <w:style w:type="paragraph" w:styleId="1563">
    <w:name w:val="toc 9"/>
    <w:basedOn w:val="1504"/>
    <w:next w:val="1504"/>
    <w:uiPriority w:val="39"/>
    <w:unhideWhenUsed/>
    <w:pPr>
      <w:pBdr/>
      <w:spacing w:after="100"/>
      <w:ind w:left="1760"/>
    </w:pPr>
  </w:style>
  <w:style w:type="character" w:styleId="1564">
    <w:name w:val="Placeholder Text"/>
    <w:basedOn w:val="1514"/>
    <w:uiPriority w:val="99"/>
    <w:semiHidden/>
    <w:pPr>
      <w:pBdr/>
      <w:spacing/>
      <w:ind/>
    </w:pPr>
    <w:rPr>
      <w:color w:val="666666"/>
    </w:rPr>
  </w:style>
  <w:style w:type="paragraph" w:styleId="1565">
    <w:name w:val="TOC Heading"/>
    <w:uiPriority w:val="39"/>
    <w:unhideWhenUsed/>
    <w:pPr>
      <w:pBdr/>
      <w:spacing/>
      <w:ind/>
    </w:pPr>
  </w:style>
  <w:style w:type="paragraph" w:styleId="1566">
    <w:name w:val="table of figures"/>
    <w:basedOn w:val="1504"/>
    <w:next w:val="150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2026-10-06T16:21:48Z</dcterms:modified>
</cp:coreProperties>
</file>