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E278B6C">
      <w:pPr>
        <w:pStyle w:val="159"/>
        <w:pBdr/>
        <w:spacing/>
        <w:ind/>
        <w:rPr/>
      </w:pPr>
      <w:r>
        <w:rPr>
          <w:rFonts w:ascii="Open Sans" w:hAnsi="Open Sans" w:eastAsia="Open Sans" w:cs="Open Sans"/>
          <w:b/>
          <w:color w:val="1d2125"/>
          <w:sz w:val="45"/>
        </w:rPr>
        <w:t xml:space="preserve">Actividad UT1.2 - Trabajo de investigación</w:t>
      </w:r>
      <w:r/>
      <w:r>
        <w:rPr>
          <w:rFonts w:ascii="Open Sans" w:hAnsi="Open Sans" w:eastAsia="Open Sans" w:cs="Open Sans"/>
          <w:sz w:val="45"/>
        </w:rPr>
      </w:r>
    </w:p>
    <w:p w14:paraId="20345696">
      <w:pPr>
        <w:pStyle w:val="161"/>
        <w:pBdr/>
        <w:spacing/>
        <w:ind/>
        <w:rPr>
          <w:color w:val="4472c4" w:themeColor="accent5"/>
        </w:rPr>
      </w:pPr>
      <w:r>
        <w:rPr>
          <w:color w:val="4472c4" w:themeColor="accent5"/>
        </w:rPr>
        <w:t xml:space="preserve">Rodrigo de Mora del Castillo - 3WEM</w:t>
      </w:r>
      <w:r>
        <w:rPr>
          <w:color w:val="4472c4" w:themeColor="accent5"/>
        </w:rPr>
      </w:r>
    </w:p>
    <w:p w14:paraId="0AA18DE2">
      <w:pPr>
        <w:pBdr/>
        <w:shd w:val="nil"/>
        <w:spacing/>
        <w:ind/>
        <w:rPr/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 w14:paraId="25E66D01">
          <w:pPr>
            <w:pStyle w:val="190"/>
            <w:pBdr/>
            <w:tabs>
              <w:tab w:val="left" w:leader="none" w:pos="850"/>
              <w:tab w:val="right" w:leader="dot" w:pos="9355"/>
            </w:tabs>
            <w:spacing/>
            <w:ind/>
            <w:rPr/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Fonts w:ascii="Symbol" w:hAnsi="Symbol" w:eastAsia="Symbol" w:cs="Symbol"/>
              </w:rPr>
              <w:t xml:space="preserve">·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TPS</w:t>
            </w:r>
            <w:r>
              <w:rPr>
                <w:rStyle w:val="187"/>
              </w:rPr>
              <w:t xml:space="preserve"> (</w:t>
            </w:r>
            <w:r>
              <w:rPr>
                <w:rStyle w:val="187"/>
              </w:rPr>
              <w:t xml:space="preserve">Transaction Processing System</w:t>
            </w:r>
            <w:r>
              <w:rPr>
                <w:rStyle w:val="187"/>
              </w:rPr>
              <w:t xml:space="preserve">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</w:p>
        <w:p w14:paraId="5883C245">
          <w:pPr>
            <w:pStyle w:val="190"/>
            <w:pBdr/>
            <w:tabs>
              <w:tab w:val="left" w:leader="none" w:pos="850"/>
              <w:tab w:val="right" w:leader="dot" w:pos="9355"/>
            </w:tabs>
            <w:spacing/>
            <w:ind/>
            <w:rPr/>
          </w:pPr>
          <w:hyperlink w:tooltip="#_Toc2" w:anchor="_Toc2" w:history="1">
            <w:r>
              <w:rPr>
                <w:rFonts w:ascii="Symbol" w:hAnsi="Symbol" w:eastAsia="Symbol" w:cs="Symbol"/>
              </w:rPr>
              <w:t xml:space="preserve">·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BPM (Business Process Management)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4</w:t>
              <w:fldChar w:fldCharType="end"/>
            </w:r>
          </w:hyperlink>
          <w:r/>
        </w:p>
        <w:p w14:paraId="6ADB442F">
          <w:pPr>
            <w:pStyle w:val="190"/>
            <w:pBdr/>
            <w:tabs>
              <w:tab w:val="left" w:leader="none" w:pos="850"/>
              <w:tab w:val="right" w:leader="dot" w:pos="9355"/>
            </w:tabs>
            <w:spacing/>
            <w:ind/>
            <w:rPr/>
          </w:pPr>
          <w:hyperlink w:tooltip="#_Toc3" w:anchor="_Toc3" w:history="1">
            <w:r>
              <w:rPr>
                <w:rFonts w:ascii="Symbol" w:hAnsi="Symbol" w:eastAsia="Symbol" w:cs="Symbol"/>
              </w:rPr>
              <w:t xml:space="preserve">·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MIS (Management Information System)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5</w:t>
              <w:fldChar w:fldCharType="end"/>
            </w:r>
          </w:hyperlink>
          <w:r/>
        </w:p>
        <w:p w14:paraId="3785870B">
          <w:pPr>
            <w:pStyle w:val="190"/>
            <w:pBdr/>
            <w:tabs>
              <w:tab w:val="left" w:leader="none" w:pos="850"/>
              <w:tab w:val="right" w:leader="dot" w:pos="9355"/>
            </w:tabs>
            <w:spacing/>
            <w:ind/>
            <w:rPr/>
          </w:pPr>
          <w:hyperlink w:tooltip="#_Toc4" w:anchor="_Toc4" w:history="1">
            <w:r>
              <w:rPr>
                <w:rFonts w:ascii="Symbol" w:hAnsi="Symbol" w:eastAsia="Symbol" w:cs="Symbol"/>
              </w:rPr>
              <w:t xml:space="preserve">·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ERP (Enterprise Resource Planning)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6</w:t>
              <w:fldChar w:fldCharType="end"/>
            </w:r>
          </w:hyperlink>
          <w:r/>
        </w:p>
        <w:p w14:paraId="7CC5B943">
          <w:pPr>
            <w:pStyle w:val="190"/>
            <w:pBdr/>
            <w:tabs>
              <w:tab w:val="left" w:leader="none" w:pos="850"/>
              <w:tab w:val="right" w:leader="dot" w:pos="9355"/>
            </w:tabs>
            <w:spacing/>
            <w:ind/>
            <w:rPr/>
          </w:pPr>
          <w:hyperlink w:tooltip="#_Toc5" w:anchor="_Toc5" w:history="1">
            <w:r>
              <w:rPr>
                <w:rFonts w:ascii="Symbol" w:hAnsi="Symbol" w:eastAsia="Symbol" w:cs="Symbol"/>
              </w:rPr>
              <w:t xml:space="preserve">·</w:t>
            </w:r>
            <w:r>
              <w:tab/>
            </w:r>
            <w:r>
              <w:rPr>
                <w:rStyle w:val="187"/>
              </w:rPr>
            </w:r>
            <w:r>
              <w:rPr>
                <w:rStyle w:val="187"/>
              </w:rPr>
              <w:t xml:space="preserve">CRM (Customer Relationship Management)</w:t>
            </w:r>
            <w:r>
              <w:rPr>
                <w:rStyle w:val="187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7</w:t>
              <w:fldChar w:fldCharType="end"/>
            </w:r>
          </w:hyperlink>
          <w:r/>
        </w:p>
        <w:p w14:paraId="0FBF1D89"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 w14:paraId="4305D59A">
      <w:pPr>
        <w:pBdr/>
        <w:shd w:val="nil"/>
        <w:spacing/>
        <w:ind/>
        <w:rPr>
          <w:highlight w:val="none"/>
        </w:rPr>
      </w:pPr>
      <w:r>
        <w:br w:type="page" w:clear="all"/>
      </w:r>
      <w:r/>
      <w:r/>
    </w:p>
    <w:p w14:paraId="65A5D00D">
      <w:pPr>
        <w:pStyle w:val="140"/>
        <w:numPr>
          <w:ilvl w:val="0"/>
          <w:numId w:val="2"/>
        </w:numPr>
        <w:pBdr/>
        <w:spacing/>
        <w:ind/>
        <w:rPr/>
      </w:pPr>
      <w:r/>
      <w:bookmarkStart w:id="1" w:name="_Toc1"/>
      <w:r>
        <w:t xml:space="preserve">TPS</w:t>
      </w:r>
      <w:r>
        <w:t xml:space="preserve"> (</w:t>
      </w:r>
      <w:r>
        <w:t xml:space="preserve">Transaction Processing System</w:t>
      </w:r>
      <w:r>
        <w:t xml:space="preserve">)</w:t>
      </w:r>
      <w:r/>
      <w:bookmarkEnd w:id="1"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>
          <w:trHeight w:val="467"/>
        </w:trPr>
        <w:tc>
          <w:tcPr>
            <w:tcBorders/>
            <w:tcW w:w="2339" w:type="dxa"/>
          </w:tcPr>
          <w:p w14:paraId="65DC3295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Nombre</w:t>
            </w:r>
            <w:r/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AC68469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NCR Counterpoint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79BC051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Square POS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AA05CCF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uniCenta oPOS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</w:tr>
      <w:tr>
        <w:trPr>
          <w:trHeight w:val="415"/>
        </w:trPr>
        <w:tc>
          <w:tcPr>
            <w:tcBorders/>
            <w:tcW w:w="2339" w:type="dxa"/>
          </w:tcPr>
          <w:p w14:paraId="3C6A740F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Tipo</w:t>
            </w:r>
            <w:r/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61CA584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Comercial</w:t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2EB18F1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Comercial</w:t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5EBADC2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Software Libre</w:t>
            </w:r>
            <w:r/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7B27F338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Logo</w:t>
            </w:r>
            <w:r/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7A12832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32199" cy="66609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2929266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332199" cy="66609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104.90pt;height:52.45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D751263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301952" cy="666279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1051321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301952" cy="6662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102.52pt;height:52.46pt;mso-wrap-distance-left:0.00pt;mso-wrap-distance-top:0.00pt;mso-wrap-distance-right:0.00pt;mso-wrap-distance-bottom:0.00pt;z-index:1;" stroked="false">
                      <v:imagedata r:id="rId11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8F575E4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4571" cy="664571"/>
                      <wp:effectExtent l="0" t="0" r="0" b="0"/>
                      <wp:docPr id="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5002824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64571" cy="6645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" o:spid="_x0000_s2" type="#_x0000_t75" style="width:52.33pt;height:52.33pt;mso-wrap-distance-left:0.00pt;mso-wrap-distance-top:0.00pt;mso-wrap-distance-right:0.00pt;mso-wrap-distance-bottom:0.00pt;z-index:1;" stroked="false">
                      <v:imagedata r:id="rId12" o:title=""/>
                      <o:lock v:ext="edit" rotation="t"/>
                    </v:shape>
                  </w:pict>
                </mc:Fallback>
              </mc:AlternateConten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</w:tcPr>
          <w:p w14:paraId="56EB0DC8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Desarrolladora</w:t>
            </w:r>
            <w:r/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6CB849D9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NCR Voyix Corporation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515B84D6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Block, Inc.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  <w:vMerge w:val="restart"/>
          </w:tcPr>
          <w:p w14:paraId="0A2ACC6F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Comunidad uniCenta / uniCenta Ltd.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182F745B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Modalidad</w:t>
            </w:r>
            <w:r/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FE4E99E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Software Propietario (Suscripción SaaS / Licencia On-Premise)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EDD04B2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Software Propietario (Pago por transacción / Suscripción SaaS)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61D992E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Software Libre (GNU General Public License v3 - GPLv3)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32961694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Arquitectura</w:t>
            </w:r>
            <w:r/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3F0682E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Cliente-Servidor local / Híbrida en Nube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C5C74DA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Basada en Nube (Cloud-Native / API-Driven)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A3B00CB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Cliente-Servidor Multiplataforma (Java / MySQL)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1721C502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Características</w:t>
            </w:r>
            <w:r/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BCBFA4D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Punto de venta (POS) y procesamiento masivo de transacciones para comercio minorista. Control de inventario en tiempo real, procesamiento de cobros multicanal, gestión de fidelización y alta velocidad de cobro con tolerancia a fallos offline.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9C9536A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Sistema TPS multiproyecto para procesamiento de pagos con tarjeta, cobros móviles y gestión de ventas diarias. Proporciona sincronización inmediata en la nube, interfaz táctil y pasarela de pago integrada.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488D20D">
            <w:pPr>
              <w:pBdr/>
              <w:spacing/>
              <w:ind/>
              <w:rPr>
                <w:color w:val="auto"/>
                <w:sz w:val="24"/>
                <w:szCs w:val="24"/>
              </w:rPr>
            </w:pPr>
            <w:r/>
            <w:r>
              <w:rPr>
                <w:color w:val="auto"/>
                <w:sz w:val="24"/>
                <w:szCs w:val="24"/>
              </w:rPr>
              <w:t xml:space="preserve">Sistema POS multiplataforma con gestión completa de caja, tickets de compra, catálogo de productos, soporte para periféricos (lectores, balanzas) y conexión directa a bases de datos relacionales sin costes de licencia.</w:t>
            </w:r>
            <w:r>
              <w:rPr>
                <w:color w:val="auto"/>
                <w:sz w:val="24"/>
                <w:szCs w:val="24"/>
              </w:rPr>
            </w:r>
            <w:r/>
            <w:r>
              <w:rPr>
                <w:color w:val="auto"/>
                <w:sz w:val="24"/>
                <w:szCs w:val="24"/>
              </w:rPr>
            </w:r>
          </w:p>
        </w:tc>
      </w:tr>
    </w:tbl>
    <w:p w14:paraId="5D3B3E17">
      <w:pPr>
        <w:pStyle w:val="140"/>
        <w:pBdr/>
        <w:spacing/>
        <w:ind w:firstLine="0" w:left="0"/>
        <w:rPr/>
      </w:pPr>
      <w:r>
        <w:br w:type="page" w:clear="all"/>
      </w:r>
      <w:r/>
      <w:r/>
    </w:p>
    <w:p>
      <w:pPr>
        <w:pStyle w:val="140"/>
        <w:numPr>
          <w:ilvl w:val="0"/>
          <w:numId w:val="4"/>
        </w:numPr>
        <w:pBdr/>
        <w:spacing/>
        <w:ind/>
        <w:rPr/>
      </w:pPr>
      <w:r/>
      <w:bookmarkStart w:id="2" w:name="_Toc2"/>
      <w:r>
        <w:t xml:space="preserve">BPM (Business Process Management)</w:t>
      </w:r>
      <w:r/>
      <w:bookmarkEnd w:id="2"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4DF67530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Nombre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E40EE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IBM Business Automation Workflow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02F91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Bizagi BPM Suite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D8A716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Camunda Platform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80"/>
        </w:trPr>
        <w:tc>
          <w:tcPr>
            <w:tcBorders/>
            <w:tcW w:w="2339" w:type="dxa"/>
          </w:tcPr>
          <w:p w14:paraId="6BE5290B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Tipo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7B368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61BDB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F21DBB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Software Libre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59DF429F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Logo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883387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23443" cy="688186"/>
                      <wp:effectExtent l="0" t="0" r="0" b="0"/>
                      <wp:docPr id="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13502274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23442" cy="688186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3" o:spid="_x0000_s3" type="#_x0000_t75" style="width:96.33pt;height:54.19pt;mso-wrap-distance-left:0.00pt;mso-wrap-distance-top:0.00pt;mso-wrap-distance-right:0.00pt;mso-wrap-distance-bottom:0.00pt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0187B0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23006" cy="721573"/>
                      <wp:effectExtent l="0" t="0" r="0" b="0"/>
                      <wp:docPr id="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423748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23005" cy="72157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4" o:spid="_x0000_s4" type="#_x0000_t75" style="width:96.30pt;height:56.82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EE875E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664571" cy="664571"/>
                      <wp:effectExtent l="0" t="0" r="0" b="0"/>
                      <wp:docPr id="6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839083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5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664571" cy="66457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5" o:spid="_x0000_s5" type="#_x0000_t75" style="width:52.33pt;height:52.33pt;mso-wrap-distance-left:0.00pt;mso-wrap-distance-top:0.00pt;mso-wrap-distance-right:0.00pt;mso-wrap-distance-bottom:0.00pt;z-index:1;" stroked="false">
                      <v:imagedata r:id="rId15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71E37E25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Desarrolladora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13B71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IBM Corporation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79365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Bizagi Ltd.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B5405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Camunda Services GmbH / Comunidad Open Source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03CF51A7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Modalidad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6F1CF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(Licencia Empresarial On-Premise / SaaS Cloud)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8846E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(SaaS / Licencia por usuario activo)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5E0C6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Libre / Código Abierto (Apache License 2.0)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17CE2E3C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Arquitectura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A9035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Orientada a Servicios (SOA) / Microservicios en Kubernetes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ADF7F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Basada en Nube (Cloud Platform - PaaS) / Integración REST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F401B7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Microservicios / Decoupled Engine (Java / REST / gRPC)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626D9592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Características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0BFBC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Plataforma integral para el diseño, ejecución y análisis de procesos complejos. Incorpora motor de reglas de negocio (ILOG), analítica de procesos, automatización asistida por IA y conectores empresariales avanzados.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6D8A0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Modelado estándar BPMN 2.0, motor de ejecución de procesos de bajo código (Low-Code), creación dinámica de formularios e integración rápida con entornos ERP/CRM corporativos.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6F7F5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Motor de orquestación de procesos BPMN y reglas DMN ligero y escalable. Diseñado para integrarse en arquitecturas de microservicios modernas, con monitorización gráfica mediante Camunda Operate y Cockpit.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5EE2513D">
      <w:pPr>
        <w:pBdr/>
        <w:shd w:val="nil"/>
        <w:spacing/>
        <w:ind/>
        <w:rPr/>
      </w:pPr>
      <w:r>
        <w:br w:type="page" w:clear="all"/>
      </w:r>
      <w:r/>
      <w:r/>
    </w:p>
    <w:p w14:paraId="746D60F0">
      <w:pPr>
        <w:pStyle w:val="140"/>
        <w:numPr>
          <w:ilvl w:val="0"/>
          <w:numId w:val="6"/>
        </w:numPr>
        <w:pBdr/>
        <w:spacing/>
        <w:ind/>
        <w:rPr/>
      </w:pPr>
      <w:r/>
      <w:bookmarkStart w:id="3" w:name="_Toc3"/>
      <w:r>
        <w:t xml:space="preserve">MIS (Management Information System)</w:t>
      </w:r>
      <w:r/>
      <w:bookmarkEnd w:id="3"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738A32A8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Nombre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1B70B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Oracle Crystal Reports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6F43B3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Microsoft Power BI Report Server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AF9B9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JasperReports Server / Jaspersoft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80"/>
        </w:trPr>
        <w:tc>
          <w:tcPr>
            <w:tcBorders/>
            <w:tcW w:w="2339" w:type="dxa"/>
          </w:tcPr>
          <w:p w14:paraId="486A9669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Tipo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D44106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31398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03F6E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Software Libre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1666314C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Logo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48D173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816458" cy="672762"/>
                      <wp:effectExtent l="0" t="0" r="0" b="0"/>
                      <wp:docPr id="7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9692186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6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816458" cy="6727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6" o:spid="_x0000_s6" type="#_x0000_t75" style="width:64.29pt;height:52.97pt;mso-wrap-distance-left:0.00pt;mso-wrap-distance-top:0.00pt;mso-wrap-distance-right:0.00pt;mso-wrap-distance-bottom:0.00pt;z-index:1;" stroked="false">
                      <v:imagedata r:id="rId16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0054E7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37098" cy="553794"/>
                      <wp:effectExtent l="0" t="0" r="0" b="0"/>
                      <wp:docPr id="8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3716200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7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37098" cy="55379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7" o:spid="_x0000_s7" type="#_x0000_t75" style="width:97.41pt;height:43.61pt;mso-wrap-distance-left:0.00pt;mso-wrap-distance-top:0.00pt;mso-wrap-distance-right:0.00pt;mso-wrap-distance-bottom:0.00pt;z-index:1;" stroked="false">
                      <v:imagedata r:id="rId17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ABCE1A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14869" cy="637806"/>
                      <wp:effectExtent l="0" t="0" r="0" b="0"/>
                      <wp:docPr id="9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6447244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8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14868" cy="63780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8" o:spid="_x0000_s8" type="#_x0000_t75" style="width:95.66pt;height:50.22pt;mso-wrap-distance-left:0.00pt;mso-wrap-distance-top:0.00pt;mso-wrap-distance-right:0.00pt;mso-wrap-distance-bottom:0.00pt;z-index:1;" stroked="false">
                      <v:imagedata r:id="rId18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7FF07C5D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Desarrolladora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D90251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SAP 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AFE3A0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Microsoft Corporation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A308BC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Jaspersoft (Comunidad Open Source / Jaspersoft Corp)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1654CFCB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Modalidad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D8AF2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(Licencia por Usuario / Servidor)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9DC4A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(Licencia Power BI Premium / SQL Server EE)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FC9AC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Libre (GNU Lesser General Public License - LGPL / AGPL)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41ABCFA4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Arquitectura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D9CE5B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Cliente-Servidor / Web Reporting Engine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CA241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Servidor On-Premise / Híbrida Cloud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A1C82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Servidor Web Java EE (Modular / REST API)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6E3EF542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Características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411AD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Motor clásico de análisis e informes corporativos. Conexión nativa a múltiples orígenes de datos (SQL, Oracle, ODBC), diseño visual paso a paso de reportes dinámicos e integración con paneles de control intermedios.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CED56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Plataforma de informes operativos y gerenciales alojada de forma local o privada. Automatización de reportes paginados, tableros de control con refresco programado y distribución controlada por roles de usuario.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72FCB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Motor de generación de informes y reporting de código abierto. Permite crear plantillas interactivas con JasperSoft Studio, exportación masiva a formatos estándar (PDF, Excel) y su incrustación (embedded) en plataformas web.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136BCA62">
      <w:pPr>
        <w:pBdr/>
        <w:shd w:val="nil"/>
        <w:spacing/>
        <w:ind/>
        <w:rPr/>
      </w:pPr>
      <w:r>
        <w:br w:type="page" w:clear="all"/>
      </w:r>
      <w:r/>
      <w:r/>
    </w:p>
    <w:p w14:paraId="160E5C57">
      <w:pPr>
        <w:pStyle w:val="140"/>
        <w:numPr>
          <w:ilvl w:val="0"/>
          <w:numId w:val="7"/>
        </w:numPr>
        <w:pBdr/>
        <w:spacing/>
        <w:ind/>
        <w:rPr/>
      </w:pPr>
      <w:r/>
      <w:bookmarkStart w:id="4" w:name="_Toc4"/>
      <w:r>
        <w:t xml:space="preserve">ERP (Enterprise Resource Planning)</w:t>
      </w:r>
      <w:r/>
      <w:bookmarkEnd w:id="4"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4F2D27BC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Nombre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7A34F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SAP S/4HANA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12AAF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Microsoft Dynamics 365 Finance &amp; Supply Chain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BD0302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Odoo Community Edition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80"/>
        </w:trPr>
        <w:tc>
          <w:tcPr>
            <w:tcBorders/>
            <w:tcW w:w="2339" w:type="dxa"/>
          </w:tcPr>
          <w:p w14:paraId="170AB28B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Tipo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27013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5CC7B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D8F9E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Software Libre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61797E7E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Logo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5B2299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0767" cy="1260767"/>
                      <wp:effectExtent l="0" t="0" r="0" b="0"/>
                      <wp:docPr id="10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234388419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9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60767" cy="1260767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9" o:spid="_x0000_s9" type="#_x0000_t75" style="width:99.27pt;height:99.27pt;mso-wrap-distance-left:0.00pt;mso-wrap-distance-top:0.00pt;mso-wrap-distance-right:0.00pt;mso-wrap-distance-bottom:0.00pt;z-index:1;" stroked="false">
                      <v:imagedata r:id="rId19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70E66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90216" cy="1292903"/>
                      <wp:effectExtent l="0" t="0" r="0" b="0"/>
                      <wp:docPr id="1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51838741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90215" cy="129290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0" o:spid="_x0000_s10" type="#_x0000_t75" style="width:101.59pt;height:101.80pt;mso-wrap-distance-left:0.00pt;mso-wrap-distance-top:0.00pt;mso-wrap-distance-right:0.00pt;mso-wrap-distance-bottom:0.00pt;z-index:1;" stroked="false">
                      <v:imagedata r:id="rId20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473338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E143F6F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1BDDC8E3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B87BA0D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sz w:val="24"/>
                <w:szCs w:val="24"/>
              </w:rPr>
            </w:r>
            <w:r/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009257" cy="318541"/>
                      <wp:effectExtent l="0" t="0" r="0" b="0"/>
                      <wp:docPr id="1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536018593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1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009256" cy="31854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1" o:spid="_x0000_s11" type="#_x0000_t75" style="width:79.47pt;height:25.08pt;mso-wrap-distance-left:0.00pt;mso-wrap-distance-top:0.00pt;mso-wrap-distance-right:0.00pt;mso-wrap-distance-bottom:0.00pt;z-index:1;" stroked="false">
                      <v:imagedata r:id="rId21" o:title=""/>
                      <o:lock v:ext="edit" rotation="t"/>
                    </v:shape>
                  </w:pict>
                </mc:Fallback>
              </mc:AlternateContent>
            </w:r>
            <w:r/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38EBADC8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Desarrolladora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E504F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SAP SE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4ABE397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Microsoft Corporation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628641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Odoo S.A. / Comunidad Odoo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26479FA0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Modalidad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9E9A5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(SaaS / Suscripción RISE with SAP / On-Premise)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1E848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(SaaS por usuario/módulo)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DEF5B9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Libre (GNU Lesser General Public License v3 - LGPLv3)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343A1EDA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Arquitectura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BD8705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In-Memory Database (SAP HANA) / Arquitectura de Nube Modular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866E8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Basada en Nube (Azure Native / Modular / Microservicios)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8E773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Modular / Cliente-Servidor Web (Python / PostgreSQL)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02E026DC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Características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5523B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ERP de última generación orientado a grandes empresas. Procesa analítica y operaciones transaccionales en tiempo real en memoria, con módulos para finanzas, cadena de suministro, fabricación y ventas.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9FB84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ERP escalable para medianas y grandes empresas. Total integración con el ecosistema Microsoft (Office, Azure, Power Platform), gestión financiera global, logística avanzada y fabricación predictiva.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64A64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ERP totalmente modular de código abierto. Cubre contabilidad, ventas, inventario, facturación electrónica y fabricación. Permite instalar solo los módulos necesarios y personalizar el código fuente según las necesidades.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2B6CCC1">
      <w:pPr>
        <w:pBdr/>
        <w:shd w:val="nil"/>
        <w:spacing/>
        <w:ind/>
        <w:rPr/>
      </w:pPr>
      <w:r>
        <w:br w:type="page" w:clear="all"/>
      </w:r>
      <w:r/>
      <w:r/>
    </w:p>
    <w:p w14:paraId="7C1BA9FA">
      <w:pPr>
        <w:pStyle w:val="140"/>
        <w:numPr>
          <w:ilvl w:val="0"/>
          <w:numId w:val="10"/>
        </w:numPr>
        <w:pBdr/>
        <w:spacing/>
        <w:ind/>
        <w:rPr/>
      </w:pPr>
      <w:r/>
      <w:bookmarkStart w:id="5" w:name="_Toc5"/>
      <w:r>
        <w:t xml:space="preserve">CRM (Customer Relationship Management)</w:t>
      </w:r>
      <w:r/>
      <w:bookmarkEnd w:id="5"/>
      <w:r/>
      <w:r/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2339"/>
        <w:gridCol w:w="2339"/>
        <w:gridCol w:w="2339"/>
        <w:gridCol w:w="2339"/>
      </w:tblGrid>
      <w:tr>
        <w:trPr/>
        <w:tc>
          <w:tcPr>
            <w:tcBorders/>
            <w:tcW w:w="2339" w:type="dxa"/>
          </w:tcPr>
          <w:p w14:paraId="40D26504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Nombre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763C1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Salesforce Sales &amp; Service Cloud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DC790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HubSpot CRM (Enterprise)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C04E5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SuiteCRM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80"/>
        </w:trPr>
        <w:tc>
          <w:tcPr>
            <w:tcBorders/>
            <w:tcW w:w="2339" w:type="dxa"/>
          </w:tcPr>
          <w:p w14:paraId="4C7A9D1C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Tipo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515B7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C39D8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Comercial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0ECE5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Software Libre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2E792109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Logo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C33CB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61988" cy="354491"/>
                      <wp:effectExtent l="0" t="0" r="0" b="0"/>
                      <wp:docPr id="13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100992395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2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61987" cy="35449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2" o:spid="_x0000_s12" type="#_x0000_t75" style="width:99.37pt;height:27.91pt;mso-wrap-distance-left:0.00pt;mso-wrap-distance-top:0.00pt;mso-wrap-distance-right:0.00pt;mso-wrap-distance-bottom:0.00pt;z-index:1;" stroked="false">
                      <v:imagedata r:id="rId22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31134E5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56706" cy="628353"/>
                      <wp:effectExtent l="0" t="0" r="0" b="0"/>
                      <wp:docPr id="14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9137887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3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56705" cy="628352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3" o:spid="_x0000_s13" type="#_x0000_t75" style="width:98.95pt;height:49.48pt;mso-wrap-distance-left:0.00pt;mso-wrap-distance-top:0.00pt;mso-wrap-distance-right:0.00pt;mso-wrap-distance-bottom:0.00pt;z-index:1;" stroked="false">
                      <v:imagedata r:id="rId2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/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90F1C5E">
            <w:pPr>
              <w:pBdr/>
              <w:spacing/>
              <w:ind/>
              <w:jc w:val="center"/>
              <w:rPr>
                <w:highlight w:val="none"/>
              </w:rPr>
            </w:pPr>
            <w:r>
              <w:rPr>
                <w:sz w:val="24"/>
                <w:szCs w:val="24"/>
              </w:rPr>
            </w: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886304" cy="427694"/>
                      <wp:effectExtent l="0" t="0" r="0" b="0"/>
                      <wp:docPr id="15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607213168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24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886303" cy="427693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4" o:spid="_x0000_s14" type="#_x0000_t75" style="width:148.53pt;height:33.68pt;mso-wrap-distance-left:0.00pt;mso-wrap-distance-top:0.00pt;mso-wrap-distance-right:0.00pt;mso-wrap-distance-bottom:0.00pt;z-index:1;" stroked="false">
                      <v:imagedata r:id="rId24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4"/>
                <w:szCs w:val="24"/>
              </w:rPr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2339" w:type="dxa"/>
          </w:tcPr>
          <w:p w14:paraId="71B60506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Desarrolladora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57B505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Salesforce, Inc.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0FC44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HubSpot, Inc.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50AA3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SalesAgility / Comunidad SuiteCRM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72056FB2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Modalidad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1915A8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(SaaS / Suscripción mensual por usuario)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90A01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Propietario (SaaS por niveles de uso)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26D7A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Software Libre (GNU Affero General Public License - AGPLv3)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1D780AA5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Arquitectura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5064F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Nube Multitenant (Multi-inquilino) / API-First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0191A5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Basada en Nube (Cloud SaaS)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9AAC1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Cliente-Servidor Web (PHP / MySQL / MariaDB)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2339" w:type="dxa"/>
          </w:tcPr>
          <w:p w14:paraId="2BE5BF06">
            <w:pPr>
              <w:pBdr/>
              <w:spacing/>
              <w:ind/>
              <w:rPr>
                <w:b/>
                <w:bCs/>
                <w:color w:val="auto"/>
                <w:sz w:val="24"/>
                <w:szCs w:val="24"/>
              </w:rPr>
            </w:pPr>
            <w:r/>
            <w:r>
              <w:rPr>
                <w:b/>
                <w:bCs/>
                <w:color w:val="auto"/>
                <w:sz w:val="24"/>
                <w:szCs w:val="24"/>
              </w:rPr>
              <w:t xml:space="preserve">Características</w:t>
            </w:r>
            <w:r>
              <w:rPr>
                <w:b/>
                <w:bCs/>
                <w:color w:val="auto"/>
                <w:sz w:val="24"/>
                <w:szCs w:val="24"/>
              </w:rPr>
            </w:r>
            <w:r>
              <w:rPr>
                <w:b/>
                <w:bCs/>
                <w:color w:val="auto"/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7F835A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CRM de referencia mundial. Automatización de fuerza de ventas, gestión de embudos (pipelines), omnicanalidad en atención al cliente, IA generativa y analítica predictiva incorporada (Einstein AI).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69E971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Plataforma centrada en estrategias de Inbound Marketing, seguimiento de prospectos, automatización de correo electrónico, gestión del ciclo de vida del cliente y herramientas de mesa de ayuda (Help Desk).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39" w:type="dxa"/>
          </w:tcPr>
          <w:p w14:paraId="291BBE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t xml:space="preserve">Bifurcación (fork) de código abierto de SugarCRM. Incluye módulos para gestión de cuentas, clientes potenciales, campañas de marketing, presupuestos, contratos y portal de atención al cliente sin límites de usuarios.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4850619F">
      <w:pPr>
        <w:pBdr/>
        <w:spacing/>
        <w:ind/>
        <w:rPr/>
      </w:pP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Open Sans">
    <w:panose1 w:val="020B0606030504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94BEA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5E27C9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3B12D9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412F4FB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F14A7A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5711FE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319827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0DE897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2F7402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6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2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8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0137BE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73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45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17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89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61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33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05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771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2026-10-06T10:03:04Z</dcterms:modified>
</cp:coreProperties>
</file>