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Narrativa del Proyecto C.I.S.P.P.H.</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Narrativa del Proyecto C.I.S.P.P.H.</w:t>
      </w:r>
    </w:p>
    <w:p>
      <w:pPr>
        <w:keepNext/>
        <w:widowControl/>
        <w:spacing w:lineRule="auto" w:line="480" w:before="0" w:after="0"/>
        <w:jc w:val="left"/>
      </w:pPr>
      <w:r>
        <w:rPr>
          <w:rFonts w:ascii="Times New Roman" w:hAnsi="Times New Roman" w:cs="Times New Roman" w:eastAsia="Times New Roman"/>
          <w:b/>
          <w:i w:val="0"/>
          <w:sz w:val="24"/>
        </w:rPr>
        <w:t>Nota de alcance</w:t>
      </w:r>
    </w:p>
    <w:p>
      <w:pPr>
        <w:keepNext w:val="0"/>
        <w:widowControl/>
        <w:spacing w:lineRule="auto" w:line="480" w:before="0" w:after="0"/>
        <w:ind w:firstLine="720"/>
        <w:jc w:val="left"/>
      </w:pPr>
      <w:r>
        <w:rPr>
          <w:rFonts w:ascii="Times New Roman" w:hAnsi="Times New Roman" w:cs="Times New Roman" w:eastAsia="Times New Roman"/>
          <w:b w:val="0"/>
          <w:i w:val="0"/>
          <w:sz w:val="24"/>
        </w:rPr>
        <w:t>El cliente, el conjunto «Robles del Norte P.H.» y todas las cifras de este documento son ficticios: no hubo entrevistas ni observaciones con personas reales. Lo que se dice del cliente es una hipótesis de trabajo. El equipo usó Claude (Anthropic) como apoyo; las decisiones y la revisión final son del equipo y del docente.</w:t>
      </w:r>
    </w:p>
    <w:p>
      <w:pPr>
        <w:keepNext/>
        <w:widowControl/>
        <w:spacing w:lineRule="auto" w:line="480" w:before="0" w:after="0"/>
        <w:jc w:val="center"/>
      </w:pPr>
      <w:r>
        <w:rPr>
          <w:rFonts w:ascii="Times New Roman" w:hAnsi="Times New Roman" w:cs="Times New Roman" w:eastAsia="Times New Roman"/>
          <w:b/>
          <w:i w:val="0"/>
          <w:sz w:val="24"/>
        </w:rPr>
        <w:t>Cómo surge el proyecto</w:t>
      </w:r>
    </w:p>
    <w:p>
      <w:pPr>
        <w:keepNext w:val="0"/>
        <w:widowControl/>
        <w:spacing w:lineRule="auto" w:line="480" w:before="0" w:after="0"/>
        <w:ind w:firstLine="720"/>
        <w:jc w:val="left"/>
      </w:pPr>
      <w:r>
        <w:rPr>
          <w:rFonts w:ascii="Times New Roman" w:hAnsi="Times New Roman" w:cs="Times New Roman" w:eastAsia="Times New Roman"/>
          <w:b w:val="0"/>
          <w:i w:val="0"/>
          <w:sz w:val="24"/>
        </w:rPr>
        <w:t>C.I.S.P.P.H. nace de las alternativas que el docente José Del Carmen Ortega Castro presentó en Diseño de Software I, dentro de un conjunto de temas de administración de propiedad horizontal. Entre ellas estaba el control de ingreso y salida de vehículos en los parqueaderos de un conjunto residencial, con la posibilidad de explorar la identificación de placas. El equipo, conformado por Edisson David Vargas Castiblanco, Luis David Caicedo Rodríguez y Javier Santiago Pérez Tobon, eligió este tema porque el control vehicular involucra a varios actores con necesidades distintas (administración, vigilancia, residentes y visitantes) y permite construir un ejercicio completo de ingeniería de software y no una aplicación aislada.</w:t>
      </w:r>
    </w:p>
    <w:p>
      <w:pPr>
        <w:keepNext/>
        <w:widowControl/>
        <w:spacing w:lineRule="auto" w:line="480" w:before="0" w:after="0"/>
        <w:jc w:val="center"/>
      </w:pPr>
      <w:r>
        <w:rPr>
          <w:rFonts w:ascii="Times New Roman" w:hAnsi="Times New Roman" w:cs="Times New Roman" w:eastAsia="Times New Roman"/>
          <w:b/>
          <w:i w:val="0"/>
          <w:sz w:val="24"/>
        </w:rPr>
        <w:t>La narrativa del cliente ilustrativo</w:t>
      </w:r>
    </w:p>
    <w:p>
      <w:pPr>
        <w:keepNext w:val="0"/>
        <w:widowControl/>
        <w:spacing w:lineRule="auto" w:line="480" w:before="0" w:after="0"/>
        <w:ind w:firstLine="720"/>
        <w:jc w:val="left"/>
      </w:pPr>
      <w:r>
        <w:rPr>
          <w:rFonts w:ascii="Times New Roman" w:hAnsi="Times New Roman" w:cs="Times New Roman" w:eastAsia="Times New Roman"/>
          <w:b w:val="0"/>
          <w:i w:val="0"/>
          <w:sz w:val="24"/>
        </w:rPr>
        <w:t xml:space="preserve">Para poder analizar un problema concreto, el equipo construyó un cliente ficticio: el Conjunto Residencial Robles del Norte P.H., en la localidad de Suba, en Bogotá. Tiene tres torres, 180 apartamentos, 210 parqueaderos privados y 15 parqueaderos de visitantes en dos sótanos. Su administradora, también ficticia, describe un control de ingreso y salida totalmente manual: dos guardas se turnan las 24 horas y, para los visitantes, anotan placa, hora, apartamento que autoriza y nombre del conductor en un talonario de papel. La salida no deja registro. El detalle completo está en el documento </w:t>
      </w:r>
      <w:r>
        <w:rPr>
          <w:rFonts w:ascii="Times New Roman" w:hAnsi="Times New Roman" w:cs="Times New Roman" w:eastAsia="Times New Roman"/>
          <w:b w:val="0"/>
          <w:i/>
          <w:sz w:val="24"/>
        </w:rPr>
        <w:t>Caso del Cliente</w:t>
      </w:r>
      <w:r>
        <w:rPr>
          <w:rFonts w:ascii="Times New Roman" w:hAnsi="Times New Roman" w:cs="Times New Roman" w:eastAsia="Times New Roman"/>
          <w:b w:val="0"/>
          <w:i w:val="0"/>
          <w:sz w:val="24"/>
        </w:rPr>
        <w:t>.</w:t>
      </w:r>
    </w:p>
    <w:p>
      <w:pPr>
        <w:keepNext w:val="0"/>
        <w:widowControl/>
        <w:spacing w:lineRule="auto" w:line="480" w:before="0" w:after="0"/>
        <w:ind w:firstLine="720"/>
        <w:jc w:val="left"/>
      </w:pPr>
      <w:r>
        <w:rPr>
          <w:rFonts w:ascii="Times New Roman" w:hAnsi="Times New Roman" w:cs="Times New Roman" w:eastAsia="Times New Roman"/>
          <w:b w:val="0"/>
          <w:i w:val="0"/>
          <w:sz w:val="24"/>
        </w:rPr>
        <w:t>Esta narrativa no proviene de una reunión con un cliente real. Es un escenario verosímil construido a partir de la literatura sobre control de acceso vehicular, por ejemplo prototipos con RFID que buscan reducir esperas (Gómez Meza y Morales Calderón, 2025), y del régimen de propiedad horizontal, según el cual los parqueaderos de visitantes son bienes comunes de uso general (Congreso de Colombia, 2001). El problema central que de ella se desprende es la ausencia de un registro centralizado y confiable de los movimientos vehiculares.</w:t>
      </w:r>
    </w:p>
    <w:p>
      <w:pPr>
        <w:keepNext/>
        <w:widowControl/>
        <w:spacing w:lineRule="auto" w:line="480" w:before="0" w:after="0"/>
        <w:jc w:val="center"/>
      </w:pPr>
      <w:r>
        <w:rPr>
          <w:rFonts w:ascii="Times New Roman" w:hAnsi="Times New Roman" w:cs="Times New Roman" w:eastAsia="Times New Roman"/>
          <w:b/>
          <w:i w:val="0"/>
          <w:sz w:val="24"/>
        </w:rPr>
        <w:t>Levantamiento de información</w:t>
      </w:r>
    </w:p>
    <w:p>
      <w:pPr>
        <w:keepNext w:val="0"/>
        <w:widowControl/>
        <w:spacing w:lineRule="auto" w:line="480" w:before="0" w:after="0"/>
        <w:ind w:firstLine="720"/>
        <w:jc w:val="left"/>
      </w:pPr>
      <w:r>
        <w:rPr>
          <w:rFonts w:ascii="Times New Roman" w:hAnsi="Times New Roman" w:cs="Times New Roman" w:eastAsia="Times New Roman"/>
          <w:b w:val="0"/>
          <w:i w:val="0"/>
          <w:sz w:val="24"/>
        </w:rPr>
        <w:t>El equipo diseñó dos instrumentos: una entrevista semiestructurada para el guarda de seguridad y un cuestionario general para administración, residentes y otros actores. Como no hay actores reales, los instrumentos no han sido aplicados; la observación directa se documenta como simulación académica y la observación indirecta se apoya en fuentes públicas. Si en el futuro se aplicaran a personas reales, sus respuestas se registrarán por separado y con fecha, sin mezclarlas con las hipótesis.</w:t>
      </w:r>
    </w:p>
    <w:p>
      <w:pPr>
        <w:keepNext/>
        <w:widowControl/>
        <w:spacing w:lineRule="auto" w:line="480" w:before="0" w:after="0"/>
        <w:jc w:val="center"/>
      </w:pPr>
      <w:r>
        <w:rPr>
          <w:rFonts w:ascii="Times New Roman" w:hAnsi="Times New Roman" w:cs="Times New Roman" w:eastAsia="Times New Roman"/>
          <w:b/>
          <w:i w:val="0"/>
          <w:sz w:val="24"/>
        </w:rPr>
        <w:t>Investigación y estado del arte</w:t>
      </w:r>
    </w:p>
    <w:p>
      <w:pPr>
        <w:keepNext w:val="0"/>
        <w:widowControl/>
        <w:spacing w:lineRule="auto" w:line="480" w:before="0" w:after="0"/>
        <w:ind w:firstLine="720"/>
        <w:jc w:val="left"/>
      </w:pPr>
      <w:r>
        <w:rPr>
          <w:rFonts w:ascii="Times New Roman" w:hAnsi="Times New Roman" w:cs="Times New Roman" w:eastAsia="Times New Roman"/>
          <w:b w:val="0"/>
          <w:i w:val="0"/>
          <w:sz w:val="24"/>
        </w:rPr>
        <w:t>De forma paralela se investigan soluciones existentes de control de acceso vehicular y tecnologías de lectura de placas (LPR/ANPR), plataformas No-Code o Low-Code (Softr, Bubble y FlutterFlow) y soluciones con microcontroladores y RFID. Ninguna tecnología se considera seleccionada hasta que se compare y se justifique. También se revisó el marco normativo colombiano (propiedad horizontal, tránsito, protección de datos, mensajes de datos y propiedad intelectual).</w:t>
      </w:r>
    </w:p>
    <w:p>
      <w:pPr>
        <w:keepNext/>
        <w:widowControl/>
        <w:spacing w:lineRule="auto" w:line="480" w:before="0" w:after="0"/>
        <w:jc w:val="center"/>
      </w:pPr>
      <w:r>
        <w:rPr>
          <w:rFonts w:ascii="Times New Roman" w:hAnsi="Times New Roman" w:cs="Times New Roman" w:eastAsia="Times New Roman"/>
          <w:b/>
          <w:i w:val="0"/>
          <w:sz w:val="24"/>
        </w:rPr>
        <w:t>Requisitos y reglas de negocio</w:t>
      </w:r>
    </w:p>
    <w:p>
      <w:pPr>
        <w:keepNext w:val="0"/>
        <w:widowControl/>
        <w:spacing w:lineRule="auto" w:line="480" w:before="0" w:after="0"/>
        <w:ind w:firstLine="720"/>
        <w:jc w:val="left"/>
      </w:pPr>
      <w:r>
        <w:rPr>
          <w:rFonts w:ascii="Times New Roman" w:hAnsi="Times New Roman" w:cs="Times New Roman" w:eastAsia="Times New Roman"/>
          <w:b w:val="0"/>
          <w:i w:val="0"/>
          <w:sz w:val="24"/>
        </w:rPr>
        <w:t>A partir del problema se propusieron requisitos funcionales y no funcionales y se identificaron los actores. Las categorías VIS, VIP y No VIP se tratan como una definición de trabajo del equipo (visitante, vehículo con trato diferenciado por rol y usuario regular), pendiente de ratificación por el docente. No se definen tarifas, tiempos de gracia ni cobros, porque el caso no tiene reglas aprobadas al respecto.</w:t>
      </w:r>
    </w:p>
    <w:p>
      <w:pPr>
        <w:keepNext/>
        <w:widowControl/>
        <w:spacing w:lineRule="auto" w:line="480" w:before="0" w:after="0"/>
        <w:jc w:val="center"/>
      </w:pPr>
      <w:r>
        <w:rPr>
          <w:rFonts w:ascii="Times New Roman" w:hAnsi="Times New Roman" w:cs="Times New Roman" w:eastAsia="Times New Roman"/>
          <w:b/>
          <w:i w:val="0"/>
          <w:sz w:val="24"/>
        </w:rPr>
        <w:t>Diseño, prototipo y presentación</w:t>
      </w:r>
    </w:p>
    <w:p>
      <w:pPr>
        <w:keepNext w:val="0"/>
        <w:widowControl/>
        <w:spacing w:lineRule="auto" w:line="480" w:before="0" w:after="0"/>
        <w:ind w:firstLine="720"/>
        <w:jc w:val="left"/>
      </w:pPr>
      <w:r>
        <w:rPr>
          <w:rFonts w:ascii="Times New Roman" w:hAnsi="Times New Roman" w:cs="Times New Roman" w:eastAsia="Times New Roman"/>
          <w:b w:val="0"/>
          <w:i w:val="0"/>
          <w:sz w:val="24"/>
        </w:rPr>
        <w:t>Con los requisitos se elaboran los modelos de procesos (BPMN, AS-IS y TO-BE), los diagramas UML, el modelo de datos, la descripción de arquitectura y los mockups. Como prototipo, el equipo desarrolló un simulador interactivo del proceso de garita y un prototipo de control de acceso basado en Arduino cuya lógica se verifica con pruebas automáticas. Al final se consolidará el expediente y se preparará la sustentación ante el docente.</w:t>
      </w:r>
    </w:p>
    <w:p>
      <w:pPr>
        <w:keepNext/>
        <w:widowControl/>
        <w:spacing w:lineRule="auto" w:line="480" w:before="0" w:after="0"/>
        <w:jc w:val="center"/>
      </w:pPr>
      <w:r>
        <w:rPr>
          <w:rFonts w:ascii="Times New Roman" w:hAnsi="Times New Roman" w:cs="Times New Roman" w:eastAsia="Times New Roman"/>
          <w:b/>
          <w:i w:val="0"/>
          <w:sz w:val="24"/>
        </w:rPr>
        <w:t>Forma de trabajo</w:t>
      </w:r>
    </w:p>
    <w:p>
      <w:pPr>
        <w:keepNext w:val="0"/>
        <w:widowControl/>
        <w:spacing w:lineRule="auto" w:line="480" w:before="0" w:after="0"/>
        <w:ind w:firstLine="720"/>
        <w:jc w:val="left"/>
      </w:pPr>
      <w:r>
        <w:rPr>
          <w:rFonts w:ascii="Times New Roman" w:hAnsi="Times New Roman" w:cs="Times New Roman" w:eastAsia="Times New Roman"/>
          <w:b w:val="0"/>
          <w:i w:val="0"/>
          <w:sz w:val="24"/>
        </w:rPr>
        <w:t>El trabajo avanza por bloques: investigar, definir, modelar, diseñar, prototipar y documentar. Cada función del sistema debe poder relacionarse con una necesidad, un requisito o una regla de negocio. La información proveniente de fuentes externas se diferencia de lo validado para el proyecto, y ninguna hipótesis se presenta como hecho comprobado.</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Referencias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Congreso de Colombia. (2001, 3 de agosto). </w:t>
      </w:r>
      <w:r>
        <w:rPr>
          <w:rFonts w:ascii="Times New Roman" w:hAnsi="Times New Roman" w:cs="Times New Roman" w:eastAsia="Times New Roman"/>
          <w:b w:val="0"/>
          <w:i/>
          <w:sz w:val="24"/>
        </w:rPr>
        <w:t>Ley 675 de 2001: Por medio de la cual se expide el régimen de propiedad horizontal</w:t>
      </w:r>
      <w:r>
        <w:rPr>
          <w:rFonts w:ascii="Times New Roman" w:hAnsi="Times New Roman" w:cs="Times New Roman" w:eastAsia="Times New Roman"/>
          <w:b w:val="0"/>
          <w:i w:val="0"/>
          <w:sz w:val="24"/>
        </w:rPr>
        <w:t>. Diario Oficial n.º 44.509. https://normas.cra.gov.co/gestor/docs/ley_0675_2001.htm</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Gómez Meza, T. J., y Morales Calderón, R. A. (2025). </w:t>
      </w:r>
      <w:r>
        <w:rPr>
          <w:rFonts w:ascii="Times New Roman" w:hAnsi="Times New Roman" w:cs="Times New Roman" w:eastAsia="Times New Roman"/>
          <w:b w:val="0"/>
          <w:i/>
          <w:sz w:val="24"/>
        </w:rPr>
        <w:t>Desarrollo de un prototipo para control de acceso vehicular de parqueaderos con tecnología RFID y aplicación móvil</w:t>
      </w:r>
      <w:r>
        <w:rPr>
          <w:rFonts w:ascii="Times New Roman" w:hAnsi="Times New Roman" w:cs="Times New Roman" w:eastAsia="Times New Roman"/>
          <w:b w:val="0"/>
          <w:i w:val="0"/>
          <w:sz w:val="24"/>
        </w:rPr>
        <w:t xml:space="preserve"> [Tesis de grado, Universidad Politécnica Salesiana]. Repositorio Institucional UPS. https://dspace.ups.edu.ec/handle/123456789/30429</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880"/>
      <w:gridCol w:w="2880"/>
      <w:gridCol w:w="2880"/>
    </w:tblGrid>
    <w:tr>
      <w:tc>
        <w:tcPr>
          <w:tcW w:type="dxa" w:w="1296"/>
          <w:vMerge w:val="restart"/>
        </w:tcPr>
        <w:p>
          <w:pPr>
            <w:jc w:val="center"/>
          </w:pPr>
          <w:r>
            <w:drawing>
              <wp:inline xmlns:a="http://schemas.openxmlformats.org/drawingml/2006/main" xmlns:pic="http://schemas.openxmlformats.org/drawingml/2006/picture">
                <wp:extent cx="640080" cy="602428"/>
                <wp:docPr id="1" name="Picture 1"/>
                <wp:cNvGraphicFramePr>
                  <a:graphicFrameLocks noChangeAspect="1"/>
                </wp:cNvGraphicFramePr>
                <a:graphic>
                  <a:graphicData uri="http://schemas.openxmlformats.org/drawingml/2006/picture">
                    <pic:pic>
                      <pic:nvPicPr>
                        <pic:cNvPr id="0" name="logo_etitc.png"/>
                        <pic:cNvPicPr/>
                      </pic:nvPicPr>
                      <pic:blipFill>
                        <a:blip r:embed="rId1"/>
                        <a:stretch>
                          <a:fillRect/>
                        </a:stretch>
                      </pic:blipFill>
                      <pic:spPr>
                        <a:xfrm>
                          <a:off x="0" y="0"/>
                          <a:ext cx="640080" cy="602428"/>
                        </a:xfrm>
                        <a:prstGeom prst="rect"/>
                      </pic:spPr>
                    </pic:pic>
                  </a:graphicData>
                </a:graphic>
              </wp:inline>
            </w:drawing>
          </w:r>
        </w:p>
      </w:tc>
      <w:tc>
        <w:tcPr>
          <w:tcW w:type="dxa" w:w="6048"/>
        </w:tcPr>
        <w:p>
          <w:pPr>
            <w:jc w:val="center"/>
          </w:pPr>
          <w:r>
            <w:rPr>
              <w:rFonts w:ascii="Times New Roman" w:hAnsi="Times New Roman" w:cs="Times New Roman" w:eastAsia="Times New Roman"/>
              <w:b/>
              <w:sz w:val="18"/>
            </w:rPr>
            <w:t>Tecnología en Desarrollo de Software de la Escuela Tecnológica Instituto Técnico Central (ETITC)</w:t>
          </w:r>
        </w:p>
      </w:tc>
      <w:tc>
        <w:tcPr>
          <w:tcW w:type="dxa" w:w="1296"/>
          <w:vMerge w:val="restart"/>
        </w:tcPr>
        <w:p>
          <w:pPr>
            <w:jc w:val="center"/>
          </w:pPr>
          <w:r>
            <w:drawing>
              <wp:inline xmlns:a="http://schemas.openxmlformats.org/drawingml/2006/main" xmlns:pic="http://schemas.openxmlformats.org/drawingml/2006/picture">
                <wp:extent cx="640080" cy="477926"/>
                <wp:docPr id="2" name="Picture 2"/>
                <wp:cNvGraphicFramePr>
                  <a:graphicFrameLocks noChangeAspect="1"/>
                </wp:cNvGraphicFramePr>
                <a:graphic>
                  <a:graphicData uri="http://schemas.openxmlformats.org/drawingml/2006/picture">
                    <pic:pic>
                      <pic:nvPicPr>
                        <pic:cNvPr id="0" name="logo_calidad.png"/>
                        <pic:cNvPicPr/>
                      </pic:nvPicPr>
                      <pic:blipFill>
                        <a:blip r:embed="rId2"/>
                        <a:stretch>
                          <a:fillRect/>
                        </a:stretch>
                      </pic:blipFill>
                      <pic:spPr>
                        <a:xfrm>
                          <a:off x="0" y="0"/>
                          <a:ext cx="640080" cy="477926"/>
                        </a:xfrm>
                        <a:prstGeom prst="rect"/>
                      </pic:spPr>
                    </pic:pic>
                  </a:graphicData>
                </a:graphic>
              </wp:inline>
            </w:drawing>
          </w:r>
        </w:p>
      </w:tc>
    </w:tr>
    <w:tr>
      <w:tc>
        <w:tcPr>
          <w:tcW w:type="dxa" w:w="1296"/>
          <w:vMerge/>
        </w:tcPr>
        <w:p/>
      </w:tc>
      <w:tc>
        <w:tcPr>
          <w:tcW w:type="dxa" w:w="6048"/>
        </w:tcPr>
        <w:p>
          <w:pPr>
            <w:jc w:val="center"/>
          </w:pPr>
          <w:r>
            <w:rPr>
              <w:rFonts w:ascii="Times New Roman" w:hAnsi="Times New Roman" w:cs="Times New Roman" w:eastAsia="Times New Roman"/>
              <w:b/>
              <w:sz w:val="18"/>
            </w:rPr>
            <w:t>26/10/2026</w:t>
          </w:r>
        </w:p>
      </w:tc>
      <w:tc>
        <w:tcPr>
          <w:tcW w:type="dxa" w:w="1296"/>
          <w:vMerge/>
        </w:tcPr>
        <w:p/>
      </w:tc>
    </w:tr>
  </w:tbl>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Narrativa del Proyecto C.I.S.P.P.H.</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