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i w:val="0"/>
          <w:sz w:val="24"/>
        </w:rPr>
        <w:t>Manual del Simulador 3D de Control de Acceso</w:t>
      </w: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val="0"/>
          <w:i w:val="0"/>
          <w:sz w:val="24"/>
        </w:rPr>
        <w:t>Luis David Caicedo Rodríguez</w:t>
      </w:r>
    </w:p>
    <w:p>
      <w:pPr>
        <w:keepNext w:val="0"/>
        <w:widowControl/>
        <w:spacing w:lineRule="auto" w:line="480" w:before="0" w:after="0"/>
        <w:jc w:val="center"/>
      </w:pPr>
      <w:r>
        <w:rPr>
          <w:rFonts w:ascii="Times New Roman" w:hAnsi="Times New Roman" w:cs="Times New Roman" w:eastAsia="Times New Roman"/>
          <w:b w:val="0"/>
          <w:i w:val="0"/>
          <w:sz w:val="24"/>
        </w:rPr>
        <w:t>Edisson David Vargas Castiblanco</w:t>
      </w:r>
    </w:p>
    <w:p>
      <w:pPr>
        <w:keepNext w:val="0"/>
        <w:widowControl/>
        <w:spacing w:lineRule="auto" w:line="480" w:before="0" w:after="0"/>
        <w:jc w:val="center"/>
      </w:pPr>
      <w:r>
        <w:rPr>
          <w:rFonts w:ascii="Times New Roman" w:hAnsi="Times New Roman" w:cs="Times New Roman" w:eastAsia="Times New Roman"/>
          <w:b w:val="0"/>
          <w:i w:val="0"/>
          <w:sz w:val="24"/>
        </w:rPr>
        <w:t>Javier Santiago Pérez Tobon</w:t>
      </w:r>
    </w:p>
    <w:p>
      <w:pPr>
        <w:keepNext w:val="0"/>
        <w:widowControl/>
        <w:spacing w:lineRule="auto" w:line="480" w:before="0" w:after="0"/>
        <w:jc w:val="center"/>
      </w:pPr>
      <w:r>
        <w:rPr>
          <w:rFonts w:ascii="Times New Roman" w:hAnsi="Times New Roman" w:cs="Times New Roman" w:eastAsia="Times New Roman"/>
          <w:b w:val="0"/>
          <w:i w:val="0"/>
          <w:sz w:val="24"/>
        </w:rPr>
        <w:t>Escuela Tecnológica Instituto Técnico Central (ETITC)</w:t>
      </w:r>
    </w:p>
    <w:p>
      <w:pPr>
        <w:keepNext w:val="0"/>
        <w:widowControl/>
        <w:spacing w:lineRule="auto" w:line="480" w:before="0" w:after="0"/>
        <w:jc w:val="center"/>
      </w:pPr>
      <w:r>
        <w:rPr>
          <w:rFonts w:ascii="Times New Roman" w:hAnsi="Times New Roman" w:cs="Times New Roman" w:eastAsia="Times New Roman"/>
          <w:b w:val="0"/>
          <w:i w:val="0"/>
          <w:sz w:val="24"/>
        </w:rPr>
        <w:t>Tecnología en Desarrollo de Software</w:t>
      </w:r>
    </w:p>
    <w:p>
      <w:pPr>
        <w:keepNext w:val="0"/>
        <w:widowControl/>
        <w:spacing w:lineRule="auto" w:line="480" w:before="0" w:after="0"/>
        <w:jc w:val="center"/>
      </w:pPr>
      <w:r>
        <w:rPr>
          <w:rFonts w:ascii="Times New Roman" w:hAnsi="Times New Roman" w:cs="Times New Roman" w:eastAsia="Times New Roman"/>
          <w:b w:val="0"/>
          <w:i w:val="0"/>
          <w:sz w:val="24"/>
        </w:rPr>
        <w:t>Diseño de Software I</w:t>
      </w:r>
    </w:p>
    <w:p>
      <w:pPr>
        <w:keepNext w:val="0"/>
        <w:widowControl/>
        <w:spacing w:lineRule="auto" w:line="480" w:before="0" w:after="0"/>
        <w:jc w:val="center"/>
      </w:pPr>
      <w:r>
        <w:rPr>
          <w:rFonts w:ascii="Times New Roman" w:hAnsi="Times New Roman" w:cs="Times New Roman" w:eastAsia="Times New Roman"/>
          <w:b w:val="0"/>
          <w:i w:val="0"/>
          <w:sz w:val="24"/>
        </w:rPr>
        <w:t>José Del Carmen Ortega Castro</w:t>
      </w:r>
    </w:p>
    <w:p>
      <w:pPr>
        <w:keepNext w:val="0"/>
        <w:widowControl/>
        <w:spacing w:lineRule="auto" w:line="480" w:before="0" w:after="0"/>
        <w:jc w:val="center"/>
      </w:pPr>
      <w:r>
        <w:rPr>
          <w:rFonts w:ascii="Times New Roman" w:hAnsi="Times New Roman" w:cs="Times New Roman" w:eastAsia="Times New Roman"/>
          <w:b w:val="0"/>
          <w:i w:val="0"/>
          <w:sz w:val="24"/>
        </w:rPr>
        <w:t>26 de octubre de 2026</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Manual del Simulador 3D de Control de Acceso</w:t>
      </w:r>
    </w:p>
    <w:p>
      <w:pPr>
        <w:keepNext/>
        <w:widowControl/>
        <w:spacing w:lineRule="auto" w:line="480" w:before="0" w:after="0"/>
        <w:jc w:val="left"/>
      </w:pPr>
      <w:r>
        <w:rPr>
          <w:rFonts w:ascii="Times New Roman" w:hAnsi="Times New Roman" w:cs="Times New Roman" w:eastAsia="Times New Roman"/>
          <w:b/>
          <w:i w:val="0"/>
          <w:sz w:val="24"/>
        </w:rPr>
        <w:t>Nota de alcance</w:t>
      </w:r>
    </w:p>
    <w:p>
      <w:pPr>
        <w:keepNext w:val="0"/>
        <w:widowControl/>
        <w:spacing w:lineRule="auto" w:line="480" w:before="0" w:after="0"/>
        <w:ind w:firstLine="720"/>
        <w:jc w:val="left"/>
      </w:pPr>
      <w:r>
        <w:rPr>
          <w:rFonts w:ascii="Times New Roman" w:hAnsi="Times New Roman" w:cs="Times New Roman" w:eastAsia="Times New Roman"/>
          <w:b w:val="0"/>
          <w:i w:val="0"/>
          <w:sz w:val="24"/>
        </w:rPr>
        <w:t>El cliente, el conjunto «Robles del Norte P.H.» y todas las cifras de este documento son ficticios: no hubo entrevistas ni observaciones con personas reales. Lo que se dice del cliente es una hipótesis de trabajo. El equipo usó Claude (Anthropic) como apoyo; las decisiones y la revisión final son del equipo y del docente.</w:t>
      </w:r>
    </w:p>
    <w:p>
      <w:pPr>
        <w:keepNext/>
        <w:widowControl/>
        <w:spacing w:lineRule="auto" w:line="480" w:before="0" w:after="0"/>
        <w:jc w:val="center"/>
      </w:pPr>
      <w:r>
        <w:rPr>
          <w:rFonts w:ascii="Times New Roman" w:hAnsi="Times New Roman" w:cs="Times New Roman" w:eastAsia="Times New Roman"/>
          <w:b/>
          <w:i w:val="0"/>
          <w:sz w:val="24"/>
        </w:rPr>
        <w:t>Para qué sirve</w:t>
      </w:r>
    </w:p>
    <w:p>
      <w:pPr>
        <w:keepNext w:val="0"/>
        <w:widowControl/>
        <w:spacing w:lineRule="auto" w:line="480" w:before="0" w:after="0"/>
        <w:ind w:firstLine="720"/>
        <w:jc w:val="left"/>
      </w:pPr>
      <w:r>
        <w:rPr>
          <w:rFonts w:ascii="Times New Roman" w:hAnsi="Times New Roman" w:cs="Times New Roman" w:eastAsia="Times New Roman"/>
          <w:b w:val="0"/>
          <w:i w:val="0"/>
          <w:sz w:val="24"/>
        </w:rPr>
        <w:t>El simulador es un juego didáctico en 3D hecho con Godot. Muestra un conjunto residencial con garita, dos barreras (entrada y salida) y 40 puestos de parqueadero: 25 de residentes (R-01 a R-25) y 15 de visitantes (V-01 a V-15). Sirve para explicar y practicar las reglas del sistema sin comprar equipos. No es el sistema final.</w:t>
      </w:r>
    </w:p>
    <w:p>
      <w:pPr>
        <w:keepNext/>
        <w:widowControl/>
        <w:spacing w:lineRule="auto" w:line="480" w:before="0" w:after="0"/>
        <w:jc w:val="center"/>
      </w:pPr>
      <w:r>
        <w:rPr>
          <w:rFonts w:ascii="Times New Roman" w:hAnsi="Times New Roman" w:cs="Times New Roman" w:eastAsia="Times New Roman"/>
          <w:b/>
          <w:i w:val="0"/>
          <w:sz w:val="24"/>
        </w:rPr>
        <w:t>Cómo abrirlo</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Instale Godot 4.7.x (versión estándar, no la de .NET).</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Abra el archivo simulador/project.godot y pulse F5.</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Entre con el usuario admin y la contraseña admin123 (de demostración).</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Si el computador va lento: Ajustes → Gráficos → preajuste «Equipo antiguo».</w:t>
      </w:r>
    </w:p>
    <w:p>
      <w:pPr>
        <w:keepNext/>
        <w:widowControl/>
        <w:spacing w:lineRule="auto" w:line="480" w:before="0" w:after="0"/>
        <w:jc w:val="center"/>
      </w:pPr>
      <w:r>
        <w:rPr>
          <w:rFonts w:ascii="Times New Roman" w:hAnsi="Times New Roman" w:cs="Times New Roman" w:eastAsia="Times New Roman"/>
          <w:b/>
          <w:i w:val="0"/>
          <w:sz w:val="24"/>
        </w:rPr>
        <w:t>Cómo se juega</w:t>
      </w:r>
    </w:p>
    <w:p>
      <w:pPr>
        <w:keepNext/>
        <w:widowControl/>
        <w:spacing w:lineRule="auto" w:line="480" w:before="0" w:after="0"/>
        <w:jc w:val="left"/>
      </w:pPr>
      <w:r>
        <w:rPr>
          <w:rFonts w:ascii="Times New Roman" w:hAnsi="Times New Roman" w:cs="Times New Roman" w:eastAsia="Times New Roman"/>
          <w:b/>
          <w:i w:val="0"/>
          <w:sz w:val="24"/>
        </w:rPr>
        <w:t>Tabla 1</w:t>
      </w:r>
    </w:p>
    <w:p>
      <w:pPr>
        <w:keepNext/>
        <w:widowControl/>
        <w:spacing w:lineRule="auto" w:line="480" w:before="0" w:after="0"/>
        <w:jc w:val="left"/>
      </w:pPr>
      <w:r>
        <w:rPr>
          <w:rFonts w:ascii="Times New Roman" w:hAnsi="Times New Roman" w:cs="Times New Roman" w:eastAsia="Times New Roman"/>
          <w:b w:val="0"/>
          <w:i/>
          <w:sz w:val="24"/>
        </w:rPr>
        <w:t>Pasos de una decisión</w:t>
      </w:r>
    </w:p>
    <w:tbl>
      <w:tblPr>
        <w:jc w:val="center"/>
        <w:tblLayout w:type="fixed"/>
        <w:tblLook w:firstColumn="1" w:firstRow="1" w:lastColumn="0" w:lastRow="0" w:noHBand="0" w:noVBand="1" w:val="04A0"/>
        <w:tblLayout w:type="fixed"/>
        <w:tblW w:w="9360" w:type="dxa"/>
      </w:tblPr>
      <w:tblGrid>
        <w:gridCol w:w="1007"/>
        <w:gridCol w:w="8352"/>
      </w:tblGrid>
      <w:tr>
        <w:trPr>
          <w:tblHeader w:val="true"/>
          <w:cantSplit w:val="true"/>
        </w:trPr>
        <w:tc>
          <w:tcPr>
            <w:tcW w:type="dxa" w:w="100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Paso</w:t>
            </w:r>
          </w:p>
        </w:tc>
        <w:tc>
          <w:tcPr>
            <w:tcW w:type="dxa" w:w="835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Qué ocurre</w:t>
            </w:r>
          </w:p>
        </w:tc>
      </w:tr>
      <w:tr>
        <w:trPr>
          <w:cantSplit w:val="true"/>
        </w:trPr>
        <w:tc>
          <w:tcPr>
            <w:tcW w:type="dxa" w:w="100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1</w:t>
            </w:r>
          </w:p>
        </w:tc>
        <w:tc>
          <w:tcPr>
            <w:tcW w:type="dxa" w:w="835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Llega un vehículo a la garita y el sistema toma tres fotos: placa delantera, placa trasera y rostro del conductor.</w:t>
            </w:r>
          </w:p>
        </w:tc>
      </w:tr>
      <w:tr>
        <w:trPr>
          <w:cantSplit w:val="true"/>
        </w:trPr>
        <w:tc>
          <w:tcPr>
            <w:tcW w:type="dxa" w:w="100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2</w:t>
            </w:r>
          </w:p>
        </w:tc>
        <w:tc>
          <w:tcPr>
            <w:tcW w:type="dxa" w:w="835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El sistema propone Autorizado, Revisar o Denegado y explica el motivo.</w:t>
            </w:r>
          </w:p>
        </w:tc>
      </w:tr>
      <w:tr>
        <w:trPr>
          <w:cantSplit w:val="true"/>
        </w:trPr>
        <w:tc>
          <w:tcPr>
            <w:tcW w:type="dxa" w:w="100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3</w:t>
            </w:r>
          </w:p>
        </w:tc>
        <w:tc>
          <w:tcPr>
            <w:tcW w:type="dxa" w:w="835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En modo Automático, los casos claros se ejecutan solos tras unos segundos. Los casos en Revisar nunca se deciden solos.</w:t>
            </w:r>
          </w:p>
        </w:tc>
      </w:tr>
      <w:tr>
        <w:trPr>
          <w:cantSplit w:val="true"/>
        </w:trPr>
        <w:tc>
          <w:tcPr>
            <w:tcW w:type="dxa" w:w="100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4</w:t>
            </w:r>
          </w:p>
        </w:tc>
        <w:tc>
          <w:tcPr>
            <w:tcW w:type="dxa" w:w="835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En Revisar se abre la ventana Inspección: muestra quién conduce, el titular de la placa y una lista con ✔ y ✘. Puede llamar por citófono al residente.</w:t>
            </w:r>
          </w:p>
        </w:tc>
      </w:tr>
      <w:tr>
        <w:trPr>
          <w:cantSplit w:val="true"/>
        </w:trPr>
        <w:tc>
          <w:tcPr>
            <w:tcW w:type="dxa" w:w="100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5</w:t>
            </w:r>
          </w:p>
        </w:tc>
        <w:tc>
          <w:tcPr>
            <w:tcW w:type="dxa" w:w="835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El guarda elige Permitir bajo su responsabilidad o Negar (en una salida, detener a la persona) y puede dejar una nota.</w:t>
            </w:r>
          </w:p>
        </w:tc>
      </w:tr>
      <w:tr>
        <w:trPr>
          <w:cantSplit w:val="true"/>
        </w:trPr>
        <w:tc>
          <w:tcPr>
            <w:tcW w:type="dxa" w:w="100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6</w:t>
            </w:r>
          </w:p>
        </w:tc>
        <w:tc>
          <w:tcPr>
            <w:tcW w:type="dxa" w:w="835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La barrera sube o no, el vehículo se estaciona o se retira, y el movimiento queda en el historial.</w:t>
            </w:r>
          </w:p>
        </w:tc>
      </w:tr>
    </w:tbl>
    <w:p>
      <w:pPr>
        <w:keepNext w:val="0"/>
        <w:widowControl/>
        <w:spacing w:lineRule="auto" w:line="240" w:before="0" w:after="120"/>
      </w:pPr>
    </w:p>
    <w:p>
      <w:pPr>
        <w:keepNext/>
        <w:widowControl/>
        <w:spacing w:lineRule="auto" w:line="480" w:before="0" w:after="0"/>
        <w:jc w:val="center"/>
      </w:pPr>
      <w:r>
        <w:rPr>
          <w:rFonts w:ascii="Times New Roman" w:hAnsi="Times New Roman" w:cs="Times New Roman" w:eastAsia="Times New Roman"/>
          <w:b/>
          <w:i w:val="0"/>
          <w:sz w:val="24"/>
        </w:rPr>
        <w:t>Casos que aparecen</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Residente con su vehículo registrado (un residente puede tener varios).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Trabajador, cuyo turno se valida con la hora simulada.</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Visitante con autorización.</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Placa del residente pero conduce otra persona (un familiar o alguien que dice ser conocido).</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Placa del residente en un vehículo distinto (cambio de carro o placa clonada).</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Vehículo no registrado, que solo puede entrar si el residente lo confirma y se registra como visitante.</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Persona que ya figura dentro, o placa trasera distinta de la delantera.</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Salida con otra persona al volante: puede ser un familiar autorizado o un robo.</w:t>
      </w:r>
    </w:p>
    <w:p>
      <w:pPr>
        <w:keepNext/>
        <w:widowControl/>
        <w:spacing w:lineRule="auto" w:line="480" w:before="0" w:after="0"/>
        <w:jc w:val="center"/>
      </w:pPr>
      <w:r>
        <w:rPr>
          <w:rFonts w:ascii="Times New Roman" w:hAnsi="Times New Roman" w:cs="Times New Roman" w:eastAsia="Times New Roman"/>
          <w:b/>
          <w:i w:val="0"/>
          <w:sz w:val="24"/>
        </w:rPr>
        <w:t>Otras funciones</w:t>
      </w:r>
    </w:p>
    <w:p>
      <w:pPr>
        <w:keepNext/>
        <w:widowControl/>
        <w:spacing w:lineRule="auto" w:line="480" w:before="0" w:after="0"/>
        <w:jc w:val="left"/>
      </w:pPr>
      <w:r>
        <w:rPr>
          <w:rFonts w:ascii="Times New Roman" w:hAnsi="Times New Roman" w:cs="Times New Roman" w:eastAsia="Times New Roman"/>
          <w:b/>
          <w:i w:val="0"/>
          <w:sz w:val="24"/>
        </w:rPr>
        <w:t>Tabla 2</w:t>
      </w:r>
    </w:p>
    <w:p>
      <w:pPr>
        <w:keepNext/>
        <w:widowControl/>
        <w:spacing w:lineRule="auto" w:line="480" w:before="0" w:after="0"/>
        <w:jc w:val="left"/>
      </w:pPr>
      <w:r>
        <w:rPr>
          <w:rFonts w:ascii="Times New Roman" w:hAnsi="Times New Roman" w:cs="Times New Roman" w:eastAsia="Times New Roman"/>
          <w:b w:val="0"/>
          <w:i/>
          <w:sz w:val="24"/>
        </w:rPr>
        <w:t>Funciones adicionales</w:t>
      </w:r>
    </w:p>
    <w:tbl>
      <w:tblPr>
        <w:jc w:val="center"/>
        <w:tblLayout w:type="fixed"/>
        <w:tblLook w:firstColumn="1" w:firstRow="1" w:lastColumn="0" w:lastRow="0" w:noHBand="0" w:noVBand="1" w:val="04A0"/>
        <w:tblLayout w:type="fixed"/>
        <w:tblW w:w="9360" w:type="dxa"/>
      </w:tblPr>
      <w:tblGrid>
        <w:gridCol w:w="2304"/>
        <w:gridCol w:w="7056"/>
      </w:tblGrid>
      <w:tr>
        <w:trPr>
          <w:tblHeader w:val="true"/>
          <w:cantSplit w:val="true"/>
        </w:trPr>
        <w:tc>
          <w:tcPr>
            <w:tcW w:type="dxa" w:w="230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Función</w:t>
            </w:r>
          </w:p>
        </w:tc>
        <w:tc>
          <w:tcPr>
            <w:tcW w:type="dxa" w:w="705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Qué hace</w:t>
            </w:r>
          </w:p>
        </w:tc>
      </w:tr>
      <w:tr>
        <w:trPr>
          <w:cantSplit w:val="true"/>
        </w:trPr>
        <w:tc>
          <w:tcPr>
            <w:tcW w:type="dxa" w:w="2304"/>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Apagón</w:t>
            </w:r>
          </w:p>
        </w:tc>
        <w:tc>
          <w:tcPr>
            <w:tcW w:type="dxa" w:w="705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Cae el sistema: no hay veredicto automático ni citófono. El guarda decide con lo que ve y debe «enviar a preguntar». No puede dejar entrar a un desconocido.</w:t>
            </w:r>
          </w:p>
        </w:tc>
      </w:tr>
      <w:tr>
        <w:trPr>
          <w:cantSplit w:val="true"/>
        </w:trPr>
        <w:tc>
          <w:tcPr>
            <w:tcW w:type="dxa" w:w="230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Monitor de cámaras</w:t>
            </w:r>
          </w:p>
        </w:tc>
        <w:tc>
          <w:tcPr>
            <w:tcW w:type="dxa" w:w="70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Seis cámaras fijas que giran e inclinan; muestran «SIN SEÑAL» durante el apagón.</w:t>
            </w:r>
          </w:p>
        </w:tc>
      </w:tr>
      <w:tr>
        <w:trPr>
          <w:cantSplit w:val="true"/>
        </w:trPr>
        <w:tc>
          <w:tcPr>
            <w:tcW w:type="dxa" w:w="230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Robo en la salida</w:t>
            </w:r>
          </w:p>
        </w:tc>
        <w:tc>
          <w:tcPr>
            <w:tcW w:type="dxa" w:w="70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Si el guarda niega y detiene, llega la policía y el vehículo vuelve vacío a su puesto.</w:t>
            </w:r>
          </w:p>
        </w:tc>
      </w:tr>
      <w:tr>
        <w:trPr>
          <w:cantSplit w:val="true"/>
        </w:trPr>
        <w:tc>
          <w:tcPr>
            <w:tcW w:type="dxa" w:w="230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Métricas</w:t>
            </w:r>
          </w:p>
        </w:tc>
        <w:tc>
          <w:tcPr>
            <w:tcW w:type="dxa" w:w="70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Tiempo de decisión, decisiones del guarda frente a las automáticas y aciertos en casos dudosos.</w:t>
            </w:r>
          </w:p>
        </w:tc>
      </w:tr>
      <w:tr>
        <w:trPr>
          <w:cantSplit w:val="true"/>
        </w:trPr>
        <w:tc>
          <w:tcPr>
            <w:tcW w:type="dxa" w:w="230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Ajustes</w:t>
            </w:r>
          </w:p>
        </w:tc>
        <w:tc>
          <w:tcPr>
            <w:tcW w:type="dxa" w:w="70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Volumen, calidad, pantalla completa, filtro de cámara de seguridad y reasignación de teclas.</w:t>
            </w:r>
          </w:p>
        </w:tc>
      </w:tr>
      <w:tr>
        <w:trPr>
          <w:cantSplit w:val="true"/>
        </w:trPr>
        <w:tc>
          <w:tcPr>
            <w:tcW w:type="dxa" w:w="2304"/>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Cámaras con el teclado</w:t>
            </w:r>
          </w:p>
        </w:tc>
        <w:tc>
          <w:tcPr>
            <w:tcW w:type="dxa" w:w="705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Las teclas 1 a 4 y 6 cambian de cámara; la 7 es el puesto del guarda.</w:t>
            </w:r>
          </w:p>
        </w:tc>
      </w:tr>
    </w:tbl>
    <w:p>
      <w:pPr>
        <w:keepNext w:val="0"/>
        <w:widowControl/>
        <w:spacing w:lineRule="auto" w:line="240" w:before="0" w:after="120"/>
      </w:pPr>
    </w:p>
    <w:p>
      <w:pPr>
        <w:keepNext/>
        <w:widowControl/>
        <w:spacing w:lineRule="auto" w:line="480" w:before="0" w:after="0"/>
        <w:jc w:val="center"/>
      </w:pPr>
      <w:r>
        <w:rPr>
          <w:rFonts w:ascii="Times New Roman" w:hAnsi="Times New Roman" w:cs="Times New Roman" w:eastAsia="Times New Roman"/>
          <w:b/>
          <w:i w:val="0"/>
          <w:sz w:val="24"/>
        </w:rPr>
        <w:t>Lo que no es real</w:t>
      </w:r>
    </w:p>
    <w:p>
      <w:pPr>
        <w:keepNext w:val="0"/>
        <w:widowControl/>
        <w:spacing w:lineRule="auto" w:line="480" w:before="0" w:after="0"/>
        <w:ind w:firstLine="720"/>
        <w:jc w:val="left"/>
      </w:pPr>
      <w:r>
        <w:rPr>
          <w:rFonts w:ascii="Times New Roman" w:hAnsi="Times New Roman" w:cs="Times New Roman" w:eastAsia="Times New Roman"/>
          <w:b w:val="0"/>
          <w:i w:val="0"/>
          <w:sz w:val="24"/>
        </w:rPr>
        <w:t>La lectura de la placa es el texto de la placa; el reconocimiento del rostro compara números (misma persona: distancia baja, otra persona: alta, con tolerancia 0,55); los nombres, documentos y respuestas del citófono los inventa el generador de casos. El dinero y los aciertos son parte del juego, no reglas del proyecto. No hay tarifas, minutos de gracia ni cobros porque el equipo no los ha definido. Los puestos de visitantes funcionan como un contador compartido y no se reservan a un apartamento (Congreso de Colombia, 2001).</w:t>
      </w:r>
    </w:p>
    <w:p>
      <w:pPr>
        <w:keepNext/>
        <w:widowControl/>
        <w:spacing w:lineRule="auto" w:line="480" w:before="0" w:after="0"/>
        <w:jc w:val="center"/>
      </w:pPr>
      <w:r>
        <w:rPr>
          <w:rFonts w:ascii="Times New Roman" w:hAnsi="Times New Roman" w:cs="Times New Roman" w:eastAsia="Times New Roman"/>
          <w:b/>
          <w:i w:val="0"/>
          <w:sz w:val="24"/>
        </w:rPr>
        <w:t>Pruebas y límites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Las reglas tienen pruebas automáticas que pasan; el recorrido completo se probó con una prueba automática con imagen por software.</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No se probó el sonido, un teléfono, un ejecutable de Windows ni el rendimiento en un equipo antiguo real.</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Los mapas de centro comercial y parqueadero en altura no están implementados porque dependen de reglas que el equipo no ha definido.</w:t>
      </w:r>
    </w:p>
    <w:p>
      <w:pPr>
        <w:keepNext/>
        <w:widowControl/>
        <w:spacing w:lineRule="auto" w:line="480" w:before="0" w:after="0"/>
        <w:jc w:val="center"/>
      </w:pPr>
      <w:r>
        <w:rPr>
          <w:rFonts w:ascii="Times New Roman" w:hAnsi="Times New Roman" w:cs="Times New Roman" w:eastAsia="Times New Roman"/>
          <w:b/>
          <w:i w:val="0"/>
          <w:sz w:val="24"/>
        </w:rPr>
        <w:t>Versión ligera en la web</w:t>
      </w:r>
    </w:p>
    <w:p>
      <w:pPr>
        <w:keepNext w:val="0"/>
        <w:widowControl/>
        <w:spacing w:lineRule="auto" w:line="480" w:before="0" w:after="0"/>
        <w:ind w:firstLine="720"/>
        <w:jc w:val="left"/>
      </w:pPr>
      <w:r>
        <w:rPr>
          <w:rFonts w:ascii="Times New Roman" w:hAnsi="Times New Roman" w:cs="Times New Roman" w:eastAsia="Times New Roman"/>
          <w:b w:val="0"/>
          <w:i w:val="0"/>
          <w:sz w:val="24"/>
        </w:rPr>
        <w:t>La página web del proyecto incluye una versión en 2D con las mismas reglas de decisión, los mismos casos, la inspección, el apagón y el historial. No tiene 3D, personas caminando ni cinemáticas.</w:t>
      </w:r>
    </w:p>
    <w:p>
      <w:pPr>
        <w:keepNext/>
        <w:widowControl/>
        <w:spacing w:lineRule="auto" w:line="480" w:before="0" w:after="0"/>
        <w:jc w:val="center"/>
      </w:pPr>
      <w:r>
        <w:rPr>
          <w:rFonts w:ascii="Times New Roman" w:hAnsi="Times New Roman" w:cs="Times New Roman" w:eastAsia="Times New Roman"/>
          <w:b/>
          <w:i w:val="0"/>
          <w:sz w:val="24"/>
        </w:rPr>
        <w:t>Guion para mostrarlo en 5 a 7 minutos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Qué es, aclarando que placa y rostro son simulados.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Entrar con admin y mostrar un ingreso automático de un residente.</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Generar casos hasta que salga uno en Revisar y usar la Inspección y el citófono.</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Mostrar una salida y el historial.</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Cerrar con los límites y el siguiente paso: reconocimiento real, como en el sistema Python.</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Referencias</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Congreso de Colombia. (2001, 3 de agosto). </w:t>
      </w:r>
      <w:r>
        <w:rPr>
          <w:rFonts w:ascii="Times New Roman" w:hAnsi="Times New Roman" w:cs="Times New Roman" w:eastAsia="Times New Roman"/>
          <w:b w:val="0"/>
          <w:i/>
          <w:sz w:val="24"/>
        </w:rPr>
        <w:t>Ley 675 de 2001: Por medio de la cual se expide el régimen de propiedad horizontal</w:t>
      </w:r>
      <w:r>
        <w:rPr>
          <w:rFonts w:ascii="Times New Roman" w:hAnsi="Times New Roman" w:cs="Times New Roman" w:eastAsia="Times New Roman"/>
          <w:b w:val="0"/>
          <w:i w:val="0"/>
          <w:sz w:val="24"/>
        </w:rPr>
        <w:t>. Diario Oficial n.º 44.509. https://normas.cra.gov.co/gestor/docs/ley_0675_2001.htm</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880"/>
      <w:gridCol w:w="2880"/>
      <w:gridCol w:w="2880"/>
    </w:tblGrid>
    <w:tr>
      <w:tc>
        <w:tcPr>
          <w:tcW w:type="dxa" w:w="1296"/>
          <w:vMerge w:val="restart"/>
        </w:tcPr>
        <w:p>
          <w:pPr>
            <w:jc w:val="center"/>
          </w:pPr>
          <w:r>
            <w:drawing>
              <wp:inline xmlns:a="http://schemas.openxmlformats.org/drawingml/2006/main" xmlns:pic="http://schemas.openxmlformats.org/drawingml/2006/picture">
                <wp:extent cx="640080" cy="602428"/>
                <wp:docPr id="1" name="Picture 1"/>
                <wp:cNvGraphicFramePr>
                  <a:graphicFrameLocks noChangeAspect="1"/>
                </wp:cNvGraphicFramePr>
                <a:graphic>
                  <a:graphicData uri="http://schemas.openxmlformats.org/drawingml/2006/picture">
                    <pic:pic>
                      <pic:nvPicPr>
                        <pic:cNvPr id="0" name="logo_etitc.png"/>
                        <pic:cNvPicPr/>
                      </pic:nvPicPr>
                      <pic:blipFill>
                        <a:blip r:embed="rId1"/>
                        <a:stretch>
                          <a:fillRect/>
                        </a:stretch>
                      </pic:blipFill>
                      <pic:spPr>
                        <a:xfrm>
                          <a:off x="0" y="0"/>
                          <a:ext cx="640080" cy="602428"/>
                        </a:xfrm>
                        <a:prstGeom prst="rect"/>
                      </pic:spPr>
                    </pic:pic>
                  </a:graphicData>
                </a:graphic>
              </wp:inline>
            </w:drawing>
          </w:r>
        </w:p>
      </w:tc>
      <w:tc>
        <w:tcPr>
          <w:tcW w:type="dxa" w:w="6048"/>
        </w:tcPr>
        <w:p>
          <w:pPr>
            <w:jc w:val="center"/>
          </w:pPr>
          <w:r>
            <w:rPr>
              <w:rFonts w:ascii="Times New Roman" w:hAnsi="Times New Roman" w:cs="Times New Roman" w:eastAsia="Times New Roman"/>
              <w:b/>
              <w:sz w:val="18"/>
            </w:rPr>
            <w:t>Tecnología en Desarrollo de Software de la Escuela Tecnológica Instituto Técnico Central (ETITC)</w:t>
          </w:r>
        </w:p>
      </w:tc>
      <w:tc>
        <w:tcPr>
          <w:tcW w:type="dxa" w:w="1296"/>
          <w:vMerge w:val="restart"/>
        </w:tcPr>
        <w:p>
          <w:pPr>
            <w:jc w:val="center"/>
          </w:pPr>
          <w:r>
            <w:drawing>
              <wp:inline xmlns:a="http://schemas.openxmlformats.org/drawingml/2006/main" xmlns:pic="http://schemas.openxmlformats.org/drawingml/2006/picture">
                <wp:extent cx="640080" cy="477926"/>
                <wp:docPr id="2" name="Picture 2"/>
                <wp:cNvGraphicFramePr>
                  <a:graphicFrameLocks noChangeAspect="1"/>
                </wp:cNvGraphicFramePr>
                <a:graphic>
                  <a:graphicData uri="http://schemas.openxmlformats.org/drawingml/2006/picture">
                    <pic:pic>
                      <pic:nvPicPr>
                        <pic:cNvPr id="0" name="logo_calidad.png"/>
                        <pic:cNvPicPr/>
                      </pic:nvPicPr>
                      <pic:blipFill>
                        <a:blip r:embed="rId2"/>
                        <a:stretch>
                          <a:fillRect/>
                        </a:stretch>
                      </pic:blipFill>
                      <pic:spPr>
                        <a:xfrm>
                          <a:off x="0" y="0"/>
                          <a:ext cx="640080" cy="477926"/>
                        </a:xfrm>
                        <a:prstGeom prst="rect"/>
                      </pic:spPr>
                    </pic:pic>
                  </a:graphicData>
                </a:graphic>
              </wp:inline>
            </w:drawing>
          </w:r>
        </w:p>
      </w:tc>
    </w:tr>
    <w:tr>
      <w:tc>
        <w:tcPr>
          <w:tcW w:type="dxa" w:w="1296"/>
          <w:vMerge/>
        </w:tcPr>
        <w:p/>
      </w:tc>
      <w:tc>
        <w:tcPr>
          <w:tcW w:type="dxa" w:w="6048"/>
        </w:tcPr>
        <w:p>
          <w:pPr>
            <w:jc w:val="center"/>
          </w:pPr>
          <w:r>
            <w:rPr>
              <w:rFonts w:ascii="Times New Roman" w:hAnsi="Times New Roman" w:cs="Times New Roman" w:eastAsia="Times New Roman"/>
              <w:b/>
              <w:sz w:val="18"/>
            </w:rPr>
            <w:t>26/10/2026</w:t>
          </w:r>
        </w:p>
      </w:tc>
      <w:tc>
        <w:tcPr>
          <w:tcW w:type="dxa" w:w="1296"/>
          <w:vMerge/>
        </w:tcPr>
        <w:p/>
      </w:tc>
    </w:tr>
  </w:tbl>
  <w:p>
    <w:pPr>
      <w:pStyle w:val="Header"/>
      <w:jc w:val="right"/>
    </w:pPr>
    <w:r>
      <w:rPr>
        <w:rFonts w:ascii="Times New Roman" w:hAnsi="Times New Roman" w:cs="Times New Roman" w:eastAsia="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Simulador 3D de Control de Acceso</dc:title>
  <dc:subject>C.I.S.P.P.H. – Diseño de Software I</dc:subject>
  <dc:creator>Luis David Caicedo Rodríguez; Edisson David Vargas Castiblanco; Javier Santiago Pérez Tobon</dc:creator>
  <cp:keywords/>
  <dc:description>generated by python-docx</dc:description>
  <cp:lastModifiedBy/>
  <cp:revision>1</cp:revision>
  <dcterms:created xsi:type="dcterms:W3CDTF">2013-12-23T23:15:00Z</dcterms:created>
  <dcterms:modified xsi:type="dcterms:W3CDTF">2013-12-23T23:15:00Z</dcterms:modified>
  <cp:category/>
</cp:coreProperties>
</file>