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Comparación de Plataformas No-Code para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Comparación de Plataformas No-Code para C.I.S.P.P.H.</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Las plataformas no-code permiten construir aplicaciones con poca programación. Este documento compara tres plataformas frente a lo que C.I.S.P.P.H. necesita, sobre todo el control de acceso por rol (RF-007, RNF-001) y la protección de datos personales (RNF-002). El análisis es documental: no se construyó ninguna aplicación de prueba.</w:t>
      </w:r>
    </w:p>
    <w:p>
      <w:pPr>
        <w:keepNext/>
        <w:widowControl/>
        <w:spacing w:lineRule="auto" w:line="480" w:before="0" w:after="0"/>
        <w:jc w:val="center"/>
      </w:pPr>
      <w:r>
        <w:rPr>
          <w:rFonts w:ascii="Times New Roman" w:hAnsi="Times New Roman" w:cs="Times New Roman" w:eastAsia="Times New Roman"/>
          <w:b/>
          <w:i w:val="0"/>
          <w:sz w:val="24"/>
        </w:rPr>
        <w:t>Comparación</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Plataformas no-code frente a los requisitos</w:t>
      </w:r>
    </w:p>
    <w:tbl>
      <w:tblPr>
        <w:jc w:val="center"/>
        <w:tblLayout w:type="fixed"/>
        <w:tblLook w:firstColumn="1" w:firstRow="1" w:lastColumn="0" w:lastRow="0" w:noHBand="0" w:noVBand="1" w:val="04A0"/>
        <w:tblLayout w:type="fixed"/>
        <w:tblW w:w="9360" w:type="dxa"/>
      </w:tblPr>
      <w:tblGrid>
        <w:gridCol w:w="1728"/>
        <w:gridCol w:w="2592"/>
        <w:gridCol w:w="2592"/>
        <w:gridCol w:w="2448"/>
      </w:tblGrid>
      <w:tr>
        <w:trPr>
          <w:tblHeader w:val="true"/>
          <w:cantSplit w:val="true"/>
        </w:trPr>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Criterio</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Softr</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Bubble</w:t>
            </w:r>
          </w:p>
        </w:tc>
        <w:tc>
          <w:tcPr>
            <w:tcW w:type="dxa" w:w="244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FlutterFlow</w:t>
            </w:r>
          </w:p>
        </w:tc>
      </w:tr>
      <w:tr>
        <w:trPr>
          <w:cantSplit w:val="true"/>
        </w:trPr>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Control de acceso</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Grupos de usuarios y permisos por página, bloque y acción; restricciones de datos a nivel de registro; las de nivel de campo figuran como «próximamente»</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Reglas de privacidad que restringen el acceso a datos personales, según su manual</w:t>
            </w:r>
          </w:p>
        </w:tc>
        <w:tc>
          <w:tcPr>
            <w:tcW w:type="dxa" w:w="244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Autenticación con Firebase, Supabase o personalizada; el control de acceso detallado depende de cada servicio</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Limitaciones documentadas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Grupos personalizados y permisos de acción requieren planes Professional, Business o Enterprise</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El cumplimiento de la ley es responsabilidad de quien desarrolla la aplicación</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La página consultada solo describe la configuración inicial</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Datos personales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No tratado en la página consultada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Bubble actúa como encargado y el desarrollador probablemente como responsable del tratamiento</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No tratado en la página consultada</w:t>
            </w:r>
          </w:p>
        </w:tc>
      </w:tr>
      <w:tr>
        <w:trPr>
          <w:cantSplit w:val="true"/>
        </w:trPr>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Fuente</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Softr (s. f.)</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Bubble (s. f.)</w:t>
            </w:r>
          </w:p>
        </w:tc>
        <w:tc>
          <w:tcPr>
            <w:tcW w:type="dxa" w:w="244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FlutterFlow (s. f.)</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El manual de Bubble trata el GDPR europeo, no la Ley 1581 de 2012.</w:t>
      </w:r>
    </w:p>
    <w:p>
      <w:pPr>
        <w:keepNext/>
        <w:widowControl/>
        <w:spacing w:lineRule="auto" w:line="480" w:before="0" w:after="0"/>
        <w:jc w:val="center"/>
      </w:pPr>
      <w:r>
        <w:rPr>
          <w:rFonts w:ascii="Times New Roman" w:hAnsi="Times New Roman" w:cs="Times New Roman" w:eastAsia="Times New Roman"/>
          <w:b/>
          <w:i w:val="0"/>
          <w:sz w:val="24"/>
        </w:rPr>
        <w:t>Análisis</w:t>
      </w:r>
    </w:p>
    <w:p>
      <w:pPr>
        <w:keepNext w:val="0"/>
        <w:widowControl/>
        <w:spacing w:lineRule="auto" w:line="480" w:before="0" w:after="0"/>
        <w:ind w:firstLine="720"/>
        <w:jc w:val="left"/>
      </w:pPr>
      <w:r>
        <w:rPr>
          <w:rFonts w:ascii="Times New Roman" w:hAnsi="Times New Roman" w:cs="Times New Roman" w:eastAsia="Times New Roman"/>
          <w:b w:val="0"/>
          <w:i w:val="0"/>
          <w:sz w:val="24"/>
        </w:rPr>
        <w:t>Ninguna de las tres plataformas resuelve por sí sola las obligaciones colombianas sobre datos personales; en el caso de Bubble, su manual aclara que el cumplimiento de la plataforma no hace que la aplicación cumpla automáticamente (Bubble, s. f.). Softr cubre bien la separación por grupos que pide RF-007, pero los permisos de acción exigen planes pagos (Softr, s. f.). FlutterFlow depende del servicio de autenticación elegido (FlutterFlow, s. f.).</w:t>
      </w:r>
    </w:p>
    <w:p>
      <w:pPr>
        <w:keepNext/>
        <w:widowControl/>
        <w:spacing w:lineRule="auto" w:line="480" w:before="0" w:after="0"/>
        <w:jc w:val="center"/>
      </w:pPr>
      <w:r>
        <w:rPr>
          <w:rFonts w:ascii="Times New Roman" w:hAnsi="Times New Roman" w:cs="Times New Roman" w:eastAsia="Times New Roman"/>
          <w:b/>
          <w:i w:val="0"/>
          <w:sz w:val="24"/>
        </w:rPr>
        <w:t>En palabras simples</w:t>
      </w:r>
    </w:p>
    <w:p>
      <w:pPr>
        <w:keepNext w:val="0"/>
        <w:widowControl/>
        <w:spacing w:lineRule="auto" w:line="480" w:before="0" w:after="0"/>
        <w:ind w:firstLine="720"/>
        <w:jc w:val="left"/>
      </w:pPr>
      <w:r>
        <w:rPr>
          <w:rFonts w:ascii="Times New Roman" w:hAnsi="Times New Roman" w:cs="Times New Roman" w:eastAsia="Times New Roman"/>
          <w:b w:val="0"/>
          <w:i w:val="0"/>
          <w:sz w:val="24"/>
        </w:rPr>
        <w:t>Una plataforma no-code permite armar una aplicación arrastrando bloques en lugar de escribir código. Es rápida para formularios y tablas, pero el control fino de reglas, cámaras y equipos físicos (como una pluma) es más difícil.</w:t>
      </w:r>
    </w:p>
    <w:p>
      <w:pPr>
        <w:keepNext/>
        <w:widowControl/>
        <w:spacing w:lineRule="auto" w:line="480" w:before="0" w:after="0"/>
        <w:jc w:val="center"/>
      </w:pPr>
      <w:r>
        <w:rPr>
          <w:rFonts w:ascii="Times New Roman" w:hAnsi="Times New Roman" w:cs="Times New Roman" w:eastAsia="Times New Roman"/>
          <w:b/>
          <w:i w:val="0"/>
          <w:sz w:val="24"/>
        </w:rPr>
        <w:t>Cuándo sí y cuándo no convendría</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Uso de plataformas no-code en este proyecto</w:t>
      </w:r>
    </w:p>
    <w:tbl>
      <w:tblPr>
        <w:jc w:val="center"/>
        <w:tblLayout w:type="fixed"/>
        <w:tblLook w:firstColumn="1" w:firstRow="1" w:lastColumn="0" w:lastRow="0" w:noHBand="0" w:noVBand="1" w:val="04A0"/>
        <w:tblLayout w:type="fixed"/>
        <w:tblW w:w="9360" w:type="dxa"/>
      </w:tblPr>
      <w:tblGrid>
        <w:gridCol w:w="4031"/>
        <w:gridCol w:w="1584"/>
        <w:gridCol w:w="3744"/>
      </w:tblGrid>
      <w:tr>
        <w:trPr>
          <w:tblHeader w:val="true"/>
          <w:cantSplit w:val="true"/>
        </w:trPr>
        <w:tc>
          <w:tcPr>
            <w:tcW w:type="dxa" w:w="403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Necesidad</w:t>
            </w:r>
          </w:p>
        </w:tc>
        <w:tc>
          <w:tcPr>
            <w:tcW w:type="dxa" w:w="158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¿Sirve no-code?</w:t>
            </w:r>
          </w:p>
        </w:tc>
        <w:tc>
          <w:tcPr>
            <w:tcW w:type="dxa" w:w="374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Motivo</w:t>
            </w:r>
          </w:p>
        </w:tc>
      </w:tr>
      <w:tr>
        <w:trPr>
          <w:cantSplit w:val="true"/>
        </w:trPr>
        <w:tc>
          <w:tcPr>
            <w:tcW w:type="dxa" w:w="403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Registrar usuarios, vehículos y visitas</w:t>
            </w:r>
          </w:p>
        </w:tc>
        <w:tc>
          <w:tcPr>
            <w:tcW w:type="dxa" w:w="158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Sí</w:t>
            </w:r>
          </w:p>
        </w:tc>
        <w:tc>
          <w:tcPr>
            <w:tcW w:type="dxa" w:w="374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Son formularios y tablas</w:t>
            </w:r>
          </w:p>
        </w:tc>
      </w:tr>
      <w:tr>
        <w:trPr>
          <w:cantSplit w:val="true"/>
        </w:trPr>
        <w:tc>
          <w:tcPr>
            <w:tcW w:type="dxa" w:w="403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Consultar el historial con filtros</w:t>
            </w:r>
          </w:p>
        </w:tc>
        <w:tc>
          <w:tcPr>
            <w:tcW w:type="dxa" w:w="158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Sí</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Las plataformas traen tablas con filtros</w:t>
            </w:r>
          </w:p>
        </w:tc>
      </w:tr>
      <w:tr>
        <w:trPr>
          <w:cantSplit w:val="true"/>
        </w:trPr>
        <w:tc>
          <w:tcPr>
            <w:tcW w:type="dxa" w:w="403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Aplicar reglas como el cupo de visitantes y los casos en revisión</w:t>
            </w:r>
          </w:p>
        </w:tc>
        <w:tc>
          <w:tcPr>
            <w:tcW w:type="dxa" w:w="158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Con dificultad</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Requiere lógica propia</w:t>
            </w:r>
          </w:p>
        </w:tc>
      </w:tr>
      <w:tr>
        <w:trPr>
          <w:cantSplit w:val="true"/>
        </w:trPr>
        <w:tc>
          <w:tcPr>
            <w:tcW w:type="dxa" w:w="403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Reconocer rostros o placas con cámara</w:t>
            </w:r>
          </w:p>
        </w:tc>
        <w:tc>
          <w:tcPr>
            <w:tcW w:type="dxa" w:w="158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No</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Necesita librerías de visión por computador</w:t>
            </w:r>
          </w:p>
        </w:tc>
      </w:tr>
      <w:tr>
        <w:trPr>
          <w:cantSplit w:val="true"/>
        </w:trPr>
        <w:tc>
          <w:tcPr>
            <w:tcW w:type="dxa" w:w="403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Abrir una pluma con un Arduino</w:t>
            </w:r>
          </w:p>
        </w:tc>
        <w:tc>
          <w:tcPr>
            <w:tcW w:type="dxa" w:w="158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No</w:t>
            </w:r>
          </w:p>
        </w:tc>
        <w:tc>
          <w:tcPr>
            <w:tcW w:type="dxa" w:w="374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Necesita comunicación con equipos físicos</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es una valoración del equipo, sin pruebas.</w:t>
      </w:r>
    </w:p>
    <w:p>
      <w:pPr>
        <w:keepNext/>
        <w:widowControl/>
        <w:spacing w:lineRule="auto" w:line="480" w:before="0" w:after="0"/>
        <w:jc w:val="center"/>
      </w:pPr>
      <w:r>
        <w:rPr>
          <w:rFonts w:ascii="Times New Roman" w:hAnsi="Times New Roman" w:cs="Times New Roman" w:eastAsia="Times New Roman"/>
          <w:b/>
          <w:i w:val="0"/>
          <w:sz w:val="24"/>
        </w:rPr>
        <w:t>Decisión</w:t>
      </w:r>
    </w:p>
    <w:p>
      <w:pPr>
        <w:keepNext w:val="0"/>
        <w:widowControl/>
        <w:spacing w:lineRule="auto" w:line="480" w:before="0" w:after="0"/>
        <w:ind w:firstLine="720"/>
        <w:jc w:val="left"/>
      </w:pPr>
      <w:r>
        <w:rPr>
          <w:rFonts w:ascii="Times New Roman" w:hAnsi="Times New Roman" w:cs="Times New Roman" w:eastAsia="Times New Roman"/>
          <w:b w:val="0"/>
          <w:i w:val="0"/>
          <w:sz w:val="24"/>
        </w:rPr>
        <w:t>El proyecto se implementa como simulador en Godot y prototipo con Arduino, no con no-code, porque el alcance del proyecto es el diseño del software y su prototipo. Las plataformas no-code quedan registradas como alternativa de comparación exigida por el curso, sin que se haya construido nada con ellas.</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Bubble. (s. f.). </w:t>
      </w:r>
      <w:r>
        <w:rPr>
          <w:rFonts w:ascii="Times New Roman" w:hAnsi="Times New Roman" w:cs="Times New Roman" w:eastAsia="Times New Roman"/>
          <w:b w:val="0"/>
          <w:i/>
          <w:sz w:val="24"/>
        </w:rPr>
        <w:t>GDPR</w:t>
      </w:r>
      <w:r>
        <w:rPr>
          <w:rFonts w:ascii="Times New Roman" w:hAnsi="Times New Roman" w:cs="Times New Roman" w:eastAsia="Times New Roman"/>
          <w:b w:val="0"/>
          <w:i w:val="0"/>
          <w:sz w:val="24"/>
        </w:rPr>
        <w:t xml:space="preserve"> [Manual]. https://manual.bubble.io/help-guides/infrastructure/compliance/gdpr</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FlutterFlow. (s. f.). </w:t>
      </w:r>
      <w:r>
        <w:rPr>
          <w:rFonts w:ascii="Times New Roman" w:hAnsi="Times New Roman" w:cs="Times New Roman" w:eastAsia="Times New Roman"/>
          <w:b w:val="0"/>
          <w:i/>
          <w:sz w:val="24"/>
        </w:rPr>
        <w:t>Authentication types</w:t>
      </w:r>
      <w:r>
        <w:rPr>
          <w:rFonts w:ascii="Times New Roman" w:hAnsi="Times New Roman" w:cs="Times New Roman" w:eastAsia="Times New Roman"/>
          <w:b w:val="0"/>
          <w:i w:val="0"/>
          <w:sz w:val="24"/>
        </w:rPr>
        <w:t xml:space="preserve"> [Documentación]. https://docs.flutterflow.io/integrations/authentication-types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Softr. (s. f.). </w:t>
      </w:r>
      <w:r>
        <w:rPr>
          <w:rFonts w:ascii="Times New Roman" w:hAnsi="Times New Roman" w:cs="Times New Roman" w:eastAsia="Times New Roman"/>
          <w:b w:val="0"/>
          <w:i/>
          <w:sz w:val="24"/>
        </w:rPr>
        <w:t>User groups &amp; permissions</w:t>
      </w:r>
      <w:r>
        <w:rPr>
          <w:rFonts w:ascii="Times New Roman" w:hAnsi="Times New Roman" w:cs="Times New Roman" w:eastAsia="Times New Roman"/>
          <w:b w:val="0"/>
          <w:i w:val="0"/>
          <w:sz w:val="24"/>
        </w:rPr>
        <w:t xml:space="preserve"> [Documentación]. https://docs.softr.io/core-concepts-overview/user-groups--permissions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880"/>
      <w:gridCol w:w="2880"/>
      <w:gridCol w:w="2880"/>
    </w:tblGrid>
    <w:tr>
      <w:tc>
        <w:tcPr>
          <w:tcW w:type="dxa" w:w="1296"/>
          <w:vMerge w:val="restart"/>
        </w:tcPr>
        <w:p>
          <w:pPr>
            <w:jc w:val="center"/>
          </w:pPr>
          <w:r>
            <w:drawing>
              <wp:inline xmlns:a="http://schemas.openxmlformats.org/drawingml/2006/main" xmlns:pic="http://schemas.openxmlformats.org/drawingml/2006/picture">
                <wp:extent cx="640080" cy="602428"/>
                <wp:docPr id="1" name="Picture 1"/>
                <wp:cNvGraphicFramePr>
                  <a:graphicFrameLocks noChangeAspect="1"/>
                </wp:cNvGraphicFramePr>
                <a:graphic>
                  <a:graphicData uri="http://schemas.openxmlformats.org/drawingml/2006/picture">
                    <pic:pic>
                      <pic:nvPicPr>
                        <pic:cNvPr id="0" name="logo_etitc.png"/>
                        <pic:cNvPicPr/>
                      </pic:nvPicPr>
                      <pic:blipFill>
                        <a:blip r:embed="rId1"/>
                        <a:stretch>
                          <a:fillRect/>
                        </a:stretch>
                      </pic:blipFill>
                      <pic:spPr>
                        <a:xfrm>
                          <a:off x="0" y="0"/>
                          <a:ext cx="640080" cy="602428"/>
                        </a:xfrm>
                        <a:prstGeom prst="rect"/>
                      </pic:spPr>
                    </pic:pic>
                  </a:graphicData>
                </a:graphic>
              </wp:inline>
            </w:drawing>
          </w:r>
        </w:p>
      </w:tc>
      <w:tc>
        <w:tcPr>
          <w:tcW w:type="dxa" w:w="6048"/>
        </w:tcPr>
        <w:p>
          <w:pPr>
            <w:jc w:val="center"/>
          </w:pPr>
          <w:r>
            <w:rPr>
              <w:rFonts w:ascii="Times New Roman" w:hAnsi="Times New Roman" w:cs="Times New Roman" w:eastAsia="Times New Roman"/>
              <w:b/>
              <w:sz w:val="18"/>
            </w:rPr>
            <w:t>Tecnología en Desarrollo de Software de la Escuela Tecnológica Instituto Técnico Central (ETITC)</w:t>
          </w:r>
        </w:p>
      </w:tc>
      <w:tc>
        <w:tcPr>
          <w:tcW w:type="dxa" w:w="1296"/>
          <w:vMerge w:val="restart"/>
        </w:tcPr>
        <w:p>
          <w:pPr>
            <w:jc w:val="center"/>
          </w:pPr>
          <w:r>
            <w:drawing>
              <wp:inline xmlns:a="http://schemas.openxmlformats.org/drawingml/2006/main" xmlns:pic="http://schemas.openxmlformats.org/drawingml/2006/picture">
                <wp:extent cx="640080" cy="477926"/>
                <wp:docPr id="2" name="Picture 2"/>
                <wp:cNvGraphicFramePr>
                  <a:graphicFrameLocks noChangeAspect="1"/>
                </wp:cNvGraphicFramePr>
                <a:graphic>
                  <a:graphicData uri="http://schemas.openxmlformats.org/drawingml/2006/picture">
                    <pic:pic>
                      <pic:nvPicPr>
                        <pic:cNvPr id="0" name="logo_calidad.png"/>
                        <pic:cNvPicPr/>
                      </pic:nvPicPr>
                      <pic:blipFill>
                        <a:blip r:embed="rId2"/>
                        <a:stretch>
                          <a:fillRect/>
                        </a:stretch>
                      </pic:blipFill>
                      <pic:spPr>
                        <a:xfrm>
                          <a:off x="0" y="0"/>
                          <a:ext cx="640080" cy="477926"/>
                        </a:xfrm>
                        <a:prstGeom prst="rect"/>
                      </pic:spPr>
                    </pic:pic>
                  </a:graphicData>
                </a:graphic>
              </wp:inline>
            </w:drawing>
          </w:r>
        </w:p>
      </w:tc>
    </w:tr>
    <w:tr>
      <w:tc>
        <w:tcPr>
          <w:tcW w:type="dxa" w:w="1296"/>
          <w:vMerge/>
        </w:tcPr>
        <w:p/>
      </w:tc>
      <w:tc>
        <w:tcPr>
          <w:tcW w:type="dxa" w:w="6048"/>
        </w:tcPr>
        <w:p>
          <w:pPr>
            <w:jc w:val="center"/>
          </w:pPr>
          <w:r>
            <w:rPr>
              <w:rFonts w:ascii="Times New Roman" w:hAnsi="Times New Roman" w:cs="Times New Roman" w:eastAsia="Times New Roman"/>
              <w:b/>
              <w:sz w:val="18"/>
            </w:rPr>
            <w:t>26/10/2026</w:t>
          </w:r>
        </w:p>
      </w:tc>
      <w:tc>
        <w:tcPr>
          <w:tcW w:type="dxa" w:w="1296"/>
          <w:vMerge/>
        </w:tcPr>
        <w:p/>
      </w:tc>
    </w:tr>
  </w:tbl>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Plataformas No-Code para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