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i w:val="0"/>
          <w:sz w:val="24"/>
        </w:rPr>
        <w:t>Comparación de Herramientas de Lectura Automática de Placas (LPR)</w:t>
      </w:r>
    </w:p>
    <w:p>
      <w:pPr>
        <w:keepNext w:val="0"/>
        <w:widowControl/>
        <w:spacing w:lineRule="auto" w:line="480" w:before="0" w:after="0"/>
      </w:pPr>
    </w:p>
    <w:p>
      <w:pPr>
        <w:keepNext w:val="0"/>
        <w:widowControl/>
        <w:spacing w:lineRule="auto" w:line="480" w:before="0" w:after="0"/>
        <w:jc w:val="center"/>
      </w:pPr>
      <w:r>
        <w:rPr>
          <w:rFonts w:ascii="Times New Roman" w:hAnsi="Times New Roman" w:cs="Times New Roman" w:eastAsia="Times New Roman"/>
          <w:b w:val="0"/>
          <w:i w:val="0"/>
          <w:sz w:val="24"/>
        </w:rPr>
        <w:t>Luis David Caicedo Rodríguez</w:t>
      </w:r>
    </w:p>
    <w:p>
      <w:pPr>
        <w:keepNext w:val="0"/>
        <w:widowControl/>
        <w:spacing w:lineRule="auto" w:line="480" w:before="0" w:after="0"/>
        <w:jc w:val="center"/>
      </w:pPr>
      <w:r>
        <w:rPr>
          <w:rFonts w:ascii="Times New Roman" w:hAnsi="Times New Roman" w:cs="Times New Roman" w:eastAsia="Times New Roman"/>
          <w:b w:val="0"/>
          <w:i w:val="0"/>
          <w:sz w:val="24"/>
        </w:rPr>
        <w:t>Edisson David Vargas Castiblanco</w:t>
      </w:r>
    </w:p>
    <w:p>
      <w:pPr>
        <w:keepNext w:val="0"/>
        <w:widowControl/>
        <w:spacing w:lineRule="auto" w:line="480" w:before="0" w:after="0"/>
        <w:jc w:val="center"/>
      </w:pPr>
      <w:r>
        <w:rPr>
          <w:rFonts w:ascii="Times New Roman" w:hAnsi="Times New Roman" w:cs="Times New Roman" w:eastAsia="Times New Roman"/>
          <w:b w:val="0"/>
          <w:i w:val="0"/>
          <w:sz w:val="24"/>
        </w:rPr>
        <w:t>Javier Santiago Pérez Tobon</w:t>
      </w:r>
    </w:p>
    <w:p>
      <w:pPr>
        <w:keepNext w:val="0"/>
        <w:widowControl/>
        <w:spacing w:lineRule="auto" w:line="480" w:before="0" w:after="0"/>
        <w:jc w:val="center"/>
      </w:pPr>
      <w:r>
        <w:rPr>
          <w:rFonts w:ascii="Times New Roman" w:hAnsi="Times New Roman" w:cs="Times New Roman" w:eastAsia="Times New Roman"/>
          <w:b w:val="0"/>
          <w:i w:val="0"/>
          <w:sz w:val="24"/>
        </w:rPr>
        <w:t>Escuela Tecnológica Instituto Técnico Central (ETITC)</w:t>
      </w:r>
    </w:p>
    <w:p>
      <w:pPr>
        <w:keepNext w:val="0"/>
        <w:widowControl/>
        <w:spacing w:lineRule="auto" w:line="480" w:before="0" w:after="0"/>
        <w:jc w:val="center"/>
      </w:pPr>
      <w:r>
        <w:rPr>
          <w:rFonts w:ascii="Times New Roman" w:hAnsi="Times New Roman" w:cs="Times New Roman" w:eastAsia="Times New Roman"/>
          <w:b w:val="0"/>
          <w:i w:val="0"/>
          <w:sz w:val="24"/>
        </w:rPr>
        <w:t>Tecnología en Desarrollo de Software</w:t>
      </w:r>
    </w:p>
    <w:p>
      <w:pPr>
        <w:keepNext w:val="0"/>
        <w:widowControl/>
        <w:spacing w:lineRule="auto" w:line="480" w:before="0" w:after="0"/>
        <w:jc w:val="center"/>
      </w:pPr>
      <w:r>
        <w:rPr>
          <w:rFonts w:ascii="Times New Roman" w:hAnsi="Times New Roman" w:cs="Times New Roman" w:eastAsia="Times New Roman"/>
          <w:b w:val="0"/>
          <w:i w:val="0"/>
          <w:sz w:val="24"/>
        </w:rPr>
        <w:t>Diseño de Software I</w:t>
      </w:r>
    </w:p>
    <w:p>
      <w:pPr>
        <w:keepNext w:val="0"/>
        <w:widowControl/>
        <w:spacing w:lineRule="auto" w:line="480" w:before="0" w:after="0"/>
        <w:jc w:val="center"/>
      </w:pPr>
      <w:r>
        <w:rPr>
          <w:rFonts w:ascii="Times New Roman" w:hAnsi="Times New Roman" w:cs="Times New Roman" w:eastAsia="Times New Roman"/>
          <w:b w:val="0"/>
          <w:i w:val="0"/>
          <w:sz w:val="24"/>
        </w:rPr>
        <w:t>José Del Carmen Ortega Castro</w:t>
      </w:r>
    </w:p>
    <w:p>
      <w:pPr>
        <w:keepNext w:val="0"/>
        <w:widowControl/>
        <w:spacing w:lineRule="auto" w:line="480" w:before="0" w:after="0"/>
        <w:jc w:val="center"/>
      </w:pPr>
      <w:r>
        <w:rPr>
          <w:rFonts w:ascii="Times New Roman" w:hAnsi="Times New Roman" w:cs="Times New Roman" w:eastAsia="Times New Roman"/>
          <w:b w:val="0"/>
          <w:i w:val="0"/>
          <w:sz w:val="24"/>
        </w:rPr>
        <w:t>26 de octubre de 2026</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Comparación de Herramientas de Lectura Automática de Placas (LPR)</w:t>
      </w:r>
    </w:p>
    <w:p>
      <w:pPr>
        <w:keepNext/>
        <w:widowControl/>
        <w:spacing w:lineRule="auto" w:line="480" w:before="0" w:after="0"/>
        <w:jc w:val="center"/>
      </w:pPr>
      <w:r>
        <w:rPr>
          <w:rFonts w:ascii="Times New Roman" w:hAnsi="Times New Roman" w:cs="Times New Roman" w:eastAsia="Times New Roman"/>
          <w:b/>
          <w:i w:val="0"/>
          <w:sz w:val="24"/>
        </w:rPr>
        <w:t>Introducción</w:t>
      </w:r>
    </w:p>
    <w:p>
      <w:pPr>
        <w:keepNext w:val="0"/>
        <w:widowControl/>
        <w:spacing w:lineRule="auto" w:line="480" w:before="0" w:after="0"/>
        <w:ind w:firstLine="720"/>
        <w:jc w:val="left"/>
      </w:pPr>
      <w:r>
        <w:rPr>
          <w:rFonts w:ascii="Times New Roman" w:hAnsi="Times New Roman" w:cs="Times New Roman" w:eastAsia="Times New Roman"/>
          <w:b w:val="0"/>
          <w:i w:val="0"/>
          <w:sz w:val="24"/>
        </w:rPr>
        <w:t>La lectura automática de placas (LPR o ANPR) convierte la imagen de una placa en texto para identificar un vehículo. Este documento compara tres herramientas que el equipo evaluó como posibles apoyos de C.I.S.P.P.H. Es un estudio documental: no se instaló ni se probó ninguna herramienta, y no se midió su exactitud.</w:t>
      </w:r>
    </w:p>
    <w:p>
      <w:pPr>
        <w:keepNext/>
        <w:widowControl/>
        <w:spacing w:lineRule="auto" w:line="480" w:before="0" w:after="0"/>
        <w:jc w:val="center"/>
      </w:pPr>
      <w:r>
        <w:rPr>
          <w:rFonts w:ascii="Times New Roman" w:hAnsi="Times New Roman" w:cs="Times New Roman" w:eastAsia="Times New Roman"/>
          <w:b/>
          <w:i w:val="0"/>
          <w:sz w:val="24"/>
        </w:rPr>
        <w:t>Herramientas comparadas</w:t>
      </w:r>
    </w:p>
    <w:p>
      <w:pPr>
        <w:keepNext/>
        <w:widowControl/>
        <w:spacing w:lineRule="auto" w:line="480" w:before="0" w:after="0"/>
        <w:jc w:val="left"/>
      </w:pPr>
      <w:r>
        <w:rPr>
          <w:rFonts w:ascii="Times New Roman" w:hAnsi="Times New Roman" w:cs="Times New Roman" w:eastAsia="Times New Roman"/>
          <w:b/>
          <w:i w:val="0"/>
          <w:sz w:val="24"/>
        </w:rPr>
        <w:t>Tabla 1</w:t>
      </w:r>
    </w:p>
    <w:p>
      <w:pPr>
        <w:keepNext/>
        <w:widowControl/>
        <w:spacing w:lineRule="auto" w:line="480" w:before="0" w:after="0"/>
        <w:jc w:val="left"/>
      </w:pPr>
      <w:r>
        <w:rPr>
          <w:rFonts w:ascii="Times New Roman" w:hAnsi="Times New Roman" w:cs="Times New Roman" w:eastAsia="Times New Roman"/>
          <w:b w:val="0"/>
          <w:i/>
          <w:sz w:val="24"/>
        </w:rPr>
        <w:t>Comparación de herramientas LPR</w:t>
      </w:r>
    </w:p>
    <w:tbl>
      <w:tblPr>
        <w:jc w:val="center"/>
        <w:tblLayout w:type="fixed"/>
        <w:tblLook w:firstColumn="1" w:firstRow="1" w:lastColumn="0" w:lastRow="0" w:noHBand="0" w:noVBand="1" w:val="04A0"/>
        <w:tblLayout w:type="fixed"/>
        <w:tblW w:w="9360" w:type="dxa"/>
      </w:tblPr>
      <w:tblGrid>
        <w:gridCol w:w="1728"/>
        <w:gridCol w:w="2592"/>
        <w:gridCol w:w="2448"/>
        <w:gridCol w:w="2592"/>
      </w:tblGrid>
      <w:tr>
        <w:trPr>
          <w:tblHeader w:val="true"/>
          <w:cantSplit w:val="true"/>
        </w:trPr>
        <w:tc>
          <w:tcPr>
            <w:tcW w:type="dxa" w:w="172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Criterio</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Plate Recognizer Snapshot</w:t>
            </w:r>
          </w:p>
        </w:tc>
        <w:tc>
          <w:tcPr>
            <w:tcW w:type="dxa" w:w="244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OpenALPR</w:t>
            </w:r>
          </w:p>
        </w:tc>
        <w:tc>
          <w:tcPr>
            <w:tcW w:type="dxa" w:w="259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6"/>
              </w:rPr>
              <w:t>SimpleLPR</w:t>
            </w:r>
          </w:p>
        </w:tc>
      </w:tr>
      <w:tr>
        <w:trPr>
          <w:cantSplit w:val="true"/>
        </w:trPr>
        <w:tc>
          <w:tcPr>
            <w:tcW w:type="dxa" w:w="172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Tipo</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SDK en imagen Docker</w:t>
            </w:r>
          </w:p>
        </w:tc>
        <w:tc>
          <w:tcPr>
            <w:tcW w:type="dxa" w:w="244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de código abierto en C++</w:t>
            </w:r>
          </w:p>
        </w:tc>
        <w:tc>
          <w:tcPr>
            <w:tcW w:type="dxa" w:w="259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con APIs para C++, .NET y Python</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Licencia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Licencia SDK de pago; cada licencia se usa en una sola máquina; precio no indicado en la página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GNU AGPL v3; hay licencias comerciales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Evaluación de 60 días; licencia de producción de pago único; precio por consulta</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Plataformas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Docker; Linux recomendado; CPU Intel con AVX o Raspberry Pi 3</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Linux, macOS y Windows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Windows 10/11 y Ubuntu 20.04 o superior (x64)</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Funcionamiento sin internet</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Sí, tras instalar (se requiere conexión durante la instalación)</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Sí, se ejecuta de forma local</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Biblioteca local</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Cobertura Colombia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indicada en la página consultada</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No verificada</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Menciona la plantilla de motocicletas de Colombia en la versión 3.6.4</w:t>
            </w:r>
          </w:p>
        </w:tc>
      </w:tr>
      <w:tr>
        <w:trPr>
          <w:cantSplit w:val="true"/>
        </w:trPr>
        <w:tc>
          <w:tcPr>
            <w:tcW w:type="dxa" w:w="172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Estado documental</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Documentación vigente</w:t>
            </w:r>
          </w:p>
        </w:tc>
        <w:tc>
          <w:tcPr>
            <w:tcW w:type="dxa" w:w="244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La página no muestra fecha del último cambio y sus dependencias son antiguas</w:t>
            </w:r>
          </w:p>
        </w:tc>
        <w:tc>
          <w:tcPr>
            <w:tcW w:type="dxa" w:w="259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Última actualización indicada: 25/07/2026</w:t>
            </w:r>
          </w:p>
        </w:tc>
      </w:tr>
      <w:tr>
        <w:trPr>
          <w:cantSplit w:val="true"/>
        </w:trPr>
        <w:tc>
          <w:tcPr>
            <w:tcW w:type="dxa" w:w="172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Fuente</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Plate Recognizer (s. f.)</w:t>
            </w:r>
          </w:p>
        </w:tc>
        <w:tc>
          <w:tcPr>
            <w:tcW w:type="dxa" w:w="244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OpenALPR (s. f.)</w:t>
            </w:r>
          </w:p>
        </w:tc>
        <w:tc>
          <w:tcPr>
            <w:tcW w:type="dxa" w:w="259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6"/>
              </w:rPr>
              <w:t>WareLogic (2026)</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Elaboración propia a partir de la documentación citada. «No verificada» significa que la fuente consultada no lo afirma.</w:t>
      </w:r>
    </w:p>
    <w:p>
      <w:pPr>
        <w:keepNext/>
        <w:widowControl/>
        <w:spacing w:lineRule="auto" w:line="480" w:before="0" w:after="0"/>
        <w:jc w:val="center"/>
      </w:pPr>
      <w:r>
        <w:rPr>
          <w:rFonts w:ascii="Times New Roman" w:hAnsi="Times New Roman" w:cs="Times New Roman" w:eastAsia="Times New Roman"/>
          <w:b/>
          <w:i w:val="0"/>
          <w:sz w:val="24"/>
        </w:rPr>
        <w:t>Análisis</w:t>
      </w:r>
    </w:p>
    <w:p>
      <w:pPr>
        <w:keepNext w:val="0"/>
        <w:widowControl/>
        <w:spacing w:lineRule="auto" w:line="480" w:before="0" w:after="0"/>
        <w:ind w:firstLine="720"/>
        <w:jc w:val="left"/>
      </w:pPr>
      <w:r>
        <w:rPr>
          <w:rFonts w:ascii="Times New Roman" w:hAnsi="Times New Roman" w:cs="Times New Roman" w:eastAsia="Times New Roman"/>
          <w:b w:val="0"/>
          <w:i w:val="0"/>
          <w:sz w:val="24"/>
        </w:rPr>
        <w:t>OpenALPR es gratuito para estudio, pero su licencia AGPL condiciona su uso en productos cerrados y su documentación sugiere dependencias antiguas (OpenALPR, s. f.). Plate Recognizer ofrece un SDK local con requisitos claros de hardware, aunque exige licencia (Plate Recognizer, s. f.). SimpleLPR declara una exactitud de 85 % a 95 % en condiciones típicas, cifra del proveedor que no fue verificada, y cubre la placa de motos colombiana (WareLogic, 2026).</w:t>
      </w:r>
    </w:p>
    <w:p>
      <w:pPr>
        <w:keepNext/>
        <w:widowControl/>
        <w:spacing w:lineRule="auto" w:line="480" w:before="0" w:after="0"/>
        <w:jc w:val="center"/>
      </w:pPr>
      <w:r>
        <w:rPr>
          <w:rFonts w:ascii="Times New Roman" w:hAnsi="Times New Roman" w:cs="Times New Roman" w:eastAsia="Times New Roman"/>
          <w:b/>
          <w:i w:val="0"/>
          <w:sz w:val="24"/>
        </w:rPr>
        <w:t>En palabras simples</w:t>
      </w:r>
    </w:p>
    <w:p>
      <w:pPr>
        <w:keepNext w:val="0"/>
        <w:widowControl/>
        <w:spacing w:lineRule="auto" w:line="480" w:before="0" w:after="0"/>
        <w:ind w:firstLine="720"/>
        <w:jc w:val="left"/>
      </w:pPr>
      <w:r>
        <w:rPr>
          <w:rFonts w:ascii="Times New Roman" w:hAnsi="Times New Roman" w:cs="Times New Roman" w:eastAsia="Times New Roman"/>
          <w:b w:val="0"/>
          <w:i w:val="0"/>
          <w:sz w:val="24"/>
        </w:rPr>
        <w:t>Una herramienta de lectura de placas hace lo que haría una persona que mira la foto de la placa y la escribe, pero en menos de un segundo. Su calidad depende de la luz, del ángulo de la cámara y de la limpieza de la placa, por lo que no basta con leer su ficha técnica: hay que probarla con fotos del propio parqueadero.</w:t>
      </w:r>
    </w:p>
    <w:p>
      <w:pPr>
        <w:keepNext/>
        <w:widowControl/>
        <w:spacing w:lineRule="auto" w:line="480" w:before="0" w:after="0"/>
        <w:jc w:val="center"/>
      </w:pPr>
      <w:r>
        <w:rPr>
          <w:rFonts w:ascii="Times New Roman" w:hAnsi="Times New Roman" w:cs="Times New Roman" w:eastAsia="Times New Roman"/>
          <w:b/>
          <w:i w:val="0"/>
          <w:sz w:val="24"/>
        </w:rPr>
        <w:t>Qué se necesitaría para probarlas de verdad</w:t>
      </w:r>
    </w:p>
    <w:p>
      <w:pPr>
        <w:keepNext/>
        <w:widowControl/>
        <w:spacing w:lineRule="auto" w:line="480" w:before="0" w:after="0"/>
        <w:jc w:val="left"/>
      </w:pPr>
      <w:r>
        <w:rPr>
          <w:rFonts w:ascii="Times New Roman" w:hAnsi="Times New Roman" w:cs="Times New Roman" w:eastAsia="Times New Roman"/>
          <w:b/>
          <w:i w:val="0"/>
          <w:sz w:val="24"/>
        </w:rPr>
        <w:t>Tabla 2</w:t>
      </w:r>
    </w:p>
    <w:p>
      <w:pPr>
        <w:keepNext/>
        <w:widowControl/>
        <w:spacing w:lineRule="auto" w:line="480" w:before="0" w:after="0"/>
        <w:jc w:val="left"/>
      </w:pPr>
      <w:r>
        <w:rPr>
          <w:rFonts w:ascii="Times New Roman" w:hAnsi="Times New Roman" w:cs="Times New Roman" w:eastAsia="Times New Roman"/>
          <w:b w:val="0"/>
          <w:i/>
          <w:sz w:val="24"/>
        </w:rPr>
        <w:t>Plan de prueba propuesto (no ejecutado)</w:t>
      </w:r>
    </w:p>
    <w:tbl>
      <w:tblPr>
        <w:jc w:val="center"/>
        <w:tblLayout w:type="fixed"/>
        <w:tblLook w:firstColumn="1" w:firstRow="1" w:lastColumn="0" w:lastRow="0" w:noHBand="0" w:noVBand="1" w:val="04A0"/>
        <w:tblLayout w:type="fixed"/>
        <w:tblW w:w="9360" w:type="dxa"/>
      </w:tblPr>
      <w:tblGrid>
        <w:gridCol w:w="1007"/>
        <w:gridCol w:w="8352"/>
      </w:tblGrid>
      <w:tr>
        <w:trPr>
          <w:tblHeader w:val="true"/>
          <w:cantSplit w:val="true"/>
        </w:trPr>
        <w:tc>
          <w:tcPr>
            <w:tcW w:type="dxa" w:w="1008"/>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Paso</w:t>
            </w:r>
          </w:p>
        </w:tc>
        <w:tc>
          <w:tcPr>
            <w:tcW w:type="dxa" w:w="8352"/>
            <w:tcBorders>
              <w:top w:val="single" w:sz="8" w:color="000000" w:space="0"/>
              <w:left w:val="nil"/>
              <w:bottom w:val="single" w:sz="6" w:color="000000" w:space="0"/>
              <w:right w:val="nil"/>
            </w:tcBorders>
          </w:tcPr>
          <w:p>
            <w:pPr>
              <w:keepNext w:val="0"/>
              <w:widowControl/>
              <w:spacing w:lineRule="auto" w:line="240" w:before="40" w:after="40"/>
              <w:jc w:val="left"/>
            </w:pPr>
            <w:r>
              <w:rPr>
                <w:rFonts w:ascii="Times New Roman" w:hAnsi="Times New Roman" w:cs="Times New Roman" w:eastAsia="Times New Roman"/>
                <w:b/>
                <w:i w:val="0"/>
                <w:sz w:val="18"/>
              </w:rPr>
              <w:t>Qué se haría</w:t>
            </w:r>
          </w:p>
        </w:tc>
      </w:tr>
      <w:tr>
        <w:trPr>
          <w:cantSplit w:val="true"/>
        </w:trPr>
        <w:tc>
          <w:tcPr>
            <w:tcW w:type="dxa" w:w="1008"/>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1</w:t>
            </w:r>
          </w:p>
        </w:tc>
        <w:tc>
          <w:tcPr>
            <w:tcW w:type="dxa" w:w="8352"/>
            <w:tcBorders>
              <w:top w:val="single" w:sz="6" w:color="000000" w:space="0"/>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Reunir al menos 50 fotos de placas colombianas de carros y motos, de día y de noche, con autorización de sus dueños</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2</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Pasar las mismas fotos por cada herramienta</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3</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Contar cuántas placas se leyeron bien y cuántas con error</w:t>
            </w:r>
          </w:p>
        </w:tc>
      </w:tr>
      <w:tr>
        <w:trPr>
          <w:cantSplit w:val="true"/>
        </w:trPr>
        <w:tc>
          <w:tcPr>
            <w:tcW w:type="dxa" w:w="1008"/>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4</w:t>
            </w:r>
          </w:p>
        </w:tc>
        <w:tc>
          <w:tcPr>
            <w:tcW w:type="dxa" w:w="8352"/>
            <w:tcBorders>
              <w:top w:val="nil"/>
              <w:left w:val="nil"/>
              <w:bottom w:val="nil"/>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Anotar el costo y el tipo de licencia</w:t>
            </w:r>
          </w:p>
        </w:tc>
      </w:tr>
      <w:tr>
        <w:trPr>
          <w:cantSplit w:val="true"/>
        </w:trPr>
        <w:tc>
          <w:tcPr>
            <w:tcW w:type="dxa" w:w="1008"/>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5</w:t>
            </w:r>
          </w:p>
        </w:tc>
        <w:tc>
          <w:tcPr>
            <w:tcW w:type="dxa" w:w="8352"/>
            <w:tcBorders>
              <w:top w:val="nil"/>
              <w:left w:val="nil"/>
              <w:bottom w:val="single" w:sz="8" w:color="000000" w:space="0"/>
              <w:right w:val="nil"/>
            </w:tcBorders>
          </w:tcPr>
          <w:p>
            <w:pPr>
              <w:keepNext w:val="0"/>
              <w:widowControl/>
              <w:spacing w:lineRule="auto" w:line="240" w:before="40" w:after="40"/>
              <w:jc w:val="left"/>
            </w:pPr>
            <w:r>
              <w:rPr>
                <w:rFonts w:ascii="Times New Roman" w:hAnsi="Times New Roman" w:cs="Times New Roman" w:eastAsia="Times New Roman"/>
                <w:b w:val="0"/>
                <w:i w:val="0"/>
                <w:sz w:val="18"/>
              </w:rPr>
              <w:t>Elegir según exactitud, costo y facilidad de instalación</w:t>
            </w:r>
          </w:p>
        </w:tc>
      </w:tr>
    </w:tbl>
    <w:p>
      <w:pPr>
        <w:keepNext w:val="0"/>
        <w:widowControl/>
        <w:spacing w:lineRule="auto" w:line="240" w:before="80" w:after="200"/>
        <w:jc w:val="left"/>
      </w:pPr>
      <w:r>
        <w:rPr>
          <w:rFonts w:ascii="Times New Roman" w:hAnsi="Times New Roman" w:cs="Times New Roman" w:eastAsia="Times New Roman"/>
          <w:i/>
          <w:sz w:val="20"/>
        </w:rPr>
        <w:t xml:space="preserve">Nota. </w:t>
      </w:r>
      <w:r>
        <w:rPr>
          <w:rFonts w:ascii="Times New Roman" w:hAnsi="Times New Roman" w:cs="Times New Roman" w:eastAsia="Times New Roman"/>
          <w:b w:val="0"/>
          <w:i w:val="0"/>
          <w:sz w:val="20"/>
        </w:rPr>
        <w:t>Plan propuesto; ninguna herramienta se ha instalado.</w:t>
      </w:r>
    </w:p>
    <w:p>
      <w:pPr>
        <w:keepNext/>
        <w:widowControl/>
        <w:spacing w:lineRule="auto" w:line="480" w:before="0" w:after="0"/>
        <w:jc w:val="center"/>
      </w:pPr>
      <w:r>
        <w:rPr>
          <w:rFonts w:ascii="Times New Roman" w:hAnsi="Times New Roman" w:cs="Times New Roman" w:eastAsia="Times New Roman"/>
          <w:b/>
          <w:i w:val="0"/>
          <w:sz w:val="24"/>
        </w:rPr>
        <w:t>Recomendación preliminar</w:t>
      </w:r>
    </w:p>
    <w:p>
      <w:pPr>
        <w:keepNext w:val="0"/>
        <w:widowControl/>
        <w:spacing w:lineRule="auto" w:line="480" w:before="0" w:after="0"/>
        <w:ind w:firstLine="720"/>
        <w:jc w:val="left"/>
      </w:pPr>
      <w:r>
        <w:rPr>
          <w:rFonts w:ascii="Times New Roman" w:hAnsi="Times New Roman" w:cs="Times New Roman" w:eastAsia="Times New Roman"/>
          <w:b w:val="0"/>
          <w:i w:val="0"/>
          <w:sz w:val="24"/>
        </w:rPr>
        <w:t>Para esta versión no se adoptó ninguna de las tres herramientas comerciales. El simulador y el prototipo con Arduino identifican por tarjeta o por placa digitada, y el sistema Python incluye un lector de placas propio con EasyOCR (gratuito) que permite leer la placa con una cámara y confirmarla con el guarda. Su exactitud todavía no se ha medido con fotos reales; si se necesitara más precisión, la elección entre estas herramientas dependería de la prueba descrita arriba, del presupuesto y de la licencia.</w:t>
      </w:r>
    </w:p>
    <w:p>
      <w:pPr>
        <w:keepNext w:val="0"/>
        <w:widowControl/>
        <w:spacing w:lineRule="auto" w:line="240" w:before="0" w:after="0"/>
      </w:pPr>
      <w:r>
        <w:br w:type="page"/>
      </w:r>
    </w:p>
    <w:p>
      <w:pPr>
        <w:keepNext/>
        <w:widowControl/>
        <w:spacing w:lineRule="auto" w:line="480" w:before="0" w:after="0"/>
        <w:jc w:val="center"/>
      </w:pPr>
      <w:r>
        <w:rPr>
          <w:rFonts w:ascii="Times New Roman" w:hAnsi="Times New Roman" w:cs="Times New Roman" w:eastAsia="Times New Roman"/>
          <w:b/>
          <w:i w:val="0"/>
          <w:sz w:val="24"/>
        </w:rPr>
        <w:t>Referencias</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OpenALPR. (s. f.). </w:t>
      </w:r>
      <w:r>
        <w:rPr>
          <w:rFonts w:ascii="Times New Roman" w:hAnsi="Times New Roman" w:cs="Times New Roman" w:eastAsia="Times New Roman"/>
          <w:b w:val="0"/>
          <w:i/>
          <w:sz w:val="24"/>
        </w:rPr>
        <w:t>OpenALPR: Automatic License Plate Recognition library</w:t>
      </w:r>
      <w:r>
        <w:rPr>
          <w:rFonts w:ascii="Times New Roman" w:hAnsi="Times New Roman" w:cs="Times New Roman" w:eastAsia="Times New Roman"/>
          <w:b w:val="0"/>
          <w:i w:val="0"/>
          <w:sz w:val="24"/>
        </w:rPr>
        <w:t xml:space="preserve"> [Software; licencia AGPL-3.0]. GitHub. https://github.com/openalpr/openalpr</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Plate Recognizer. (s. f.). </w:t>
      </w:r>
      <w:r>
        <w:rPr>
          <w:rFonts w:ascii="Times New Roman" w:hAnsi="Times New Roman" w:cs="Times New Roman" w:eastAsia="Times New Roman"/>
          <w:b w:val="0"/>
          <w:i/>
          <w:sz w:val="24"/>
        </w:rPr>
        <w:t>Plate Recognizer Snapshot: Getting started</w:t>
      </w:r>
      <w:r>
        <w:rPr>
          <w:rFonts w:ascii="Times New Roman" w:hAnsi="Times New Roman" w:cs="Times New Roman" w:eastAsia="Times New Roman"/>
          <w:b w:val="0"/>
          <w:i w:val="0"/>
          <w:sz w:val="24"/>
        </w:rPr>
        <w:t xml:space="preserve"> [Documentación técnica]. https://guides.platerecognizer.com/docs/snapshot/getting-started</w:t>
      </w:r>
    </w:p>
    <w:p>
      <w:pPr>
        <w:keepNext w:val="0"/>
        <w:widowControl/>
        <w:spacing w:lineRule="auto" w:line="480" w:before="0" w:after="0"/>
        <w:ind w:left="720" w:hanging="720"/>
        <w:jc w:val="left"/>
      </w:pPr>
      <w:r>
        <w:rPr>
          <w:rFonts w:ascii="Times New Roman" w:hAnsi="Times New Roman" w:cs="Times New Roman" w:eastAsia="Times New Roman"/>
          <w:b w:val="0"/>
          <w:i w:val="0"/>
          <w:sz w:val="24"/>
        </w:rPr>
        <w:t xml:space="preserve">WareLogic. (2026). </w:t>
      </w:r>
      <w:r>
        <w:rPr>
          <w:rFonts w:ascii="Times New Roman" w:hAnsi="Times New Roman" w:cs="Times New Roman" w:eastAsia="Times New Roman"/>
          <w:b w:val="0"/>
          <w:i/>
          <w:sz w:val="24"/>
        </w:rPr>
        <w:t>SimpleLPR</w:t>
      </w:r>
      <w:r>
        <w:rPr>
          <w:rFonts w:ascii="Times New Roman" w:hAnsi="Times New Roman" w:cs="Times New Roman" w:eastAsia="Times New Roman"/>
          <w:b w:val="0"/>
          <w:i w:val="0"/>
          <w:sz w:val="24"/>
        </w:rPr>
        <w:t xml:space="preserve"> (versión 3.6.4) [Software]. NuGet Gallery. https://packages.nuget.org/packages/SimpleLPR</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880"/>
      <w:gridCol w:w="2880"/>
      <w:gridCol w:w="2880"/>
    </w:tblGrid>
    <w:tr>
      <w:tc>
        <w:tcPr>
          <w:tcW w:type="dxa" w:w="1296"/>
          <w:vMerge w:val="restart"/>
        </w:tcPr>
        <w:p>
          <w:pPr>
            <w:jc w:val="center"/>
          </w:pPr>
          <w:r>
            <w:drawing>
              <wp:inline xmlns:a="http://schemas.openxmlformats.org/drawingml/2006/main" xmlns:pic="http://schemas.openxmlformats.org/drawingml/2006/picture">
                <wp:extent cx="640080" cy="602428"/>
                <wp:docPr id="1" name="Picture 1"/>
                <wp:cNvGraphicFramePr>
                  <a:graphicFrameLocks noChangeAspect="1"/>
                </wp:cNvGraphicFramePr>
                <a:graphic>
                  <a:graphicData uri="http://schemas.openxmlformats.org/drawingml/2006/picture">
                    <pic:pic>
                      <pic:nvPicPr>
                        <pic:cNvPr id="0" name="logo_etitc.png"/>
                        <pic:cNvPicPr/>
                      </pic:nvPicPr>
                      <pic:blipFill>
                        <a:blip r:embed="rId1"/>
                        <a:stretch>
                          <a:fillRect/>
                        </a:stretch>
                      </pic:blipFill>
                      <pic:spPr>
                        <a:xfrm>
                          <a:off x="0" y="0"/>
                          <a:ext cx="640080" cy="602428"/>
                        </a:xfrm>
                        <a:prstGeom prst="rect"/>
                      </pic:spPr>
                    </pic:pic>
                  </a:graphicData>
                </a:graphic>
              </wp:inline>
            </w:drawing>
          </w:r>
        </w:p>
      </w:tc>
      <w:tc>
        <w:tcPr>
          <w:tcW w:type="dxa" w:w="6048"/>
        </w:tcPr>
        <w:p>
          <w:pPr>
            <w:jc w:val="center"/>
          </w:pPr>
          <w:r>
            <w:rPr>
              <w:rFonts w:ascii="Times New Roman" w:hAnsi="Times New Roman" w:cs="Times New Roman" w:eastAsia="Times New Roman"/>
              <w:b/>
              <w:sz w:val="18"/>
            </w:rPr>
            <w:t>Tecnología en Desarrollo de Software de la Escuela Tecnológica Instituto Técnico Central (ETITC)</w:t>
          </w:r>
        </w:p>
      </w:tc>
      <w:tc>
        <w:tcPr>
          <w:tcW w:type="dxa" w:w="1296"/>
          <w:vMerge w:val="restart"/>
        </w:tcPr>
        <w:p>
          <w:pPr>
            <w:jc w:val="center"/>
          </w:pPr>
          <w:r>
            <w:drawing>
              <wp:inline xmlns:a="http://schemas.openxmlformats.org/drawingml/2006/main" xmlns:pic="http://schemas.openxmlformats.org/drawingml/2006/picture">
                <wp:extent cx="640080" cy="477926"/>
                <wp:docPr id="2" name="Picture 2"/>
                <wp:cNvGraphicFramePr>
                  <a:graphicFrameLocks noChangeAspect="1"/>
                </wp:cNvGraphicFramePr>
                <a:graphic>
                  <a:graphicData uri="http://schemas.openxmlformats.org/drawingml/2006/picture">
                    <pic:pic>
                      <pic:nvPicPr>
                        <pic:cNvPr id="0" name="logo_calidad.png"/>
                        <pic:cNvPicPr/>
                      </pic:nvPicPr>
                      <pic:blipFill>
                        <a:blip r:embed="rId2"/>
                        <a:stretch>
                          <a:fillRect/>
                        </a:stretch>
                      </pic:blipFill>
                      <pic:spPr>
                        <a:xfrm>
                          <a:off x="0" y="0"/>
                          <a:ext cx="640080" cy="477926"/>
                        </a:xfrm>
                        <a:prstGeom prst="rect"/>
                      </pic:spPr>
                    </pic:pic>
                  </a:graphicData>
                </a:graphic>
              </wp:inline>
            </w:drawing>
          </w:r>
        </w:p>
      </w:tc>
    </w:tr>
    <w:tr>
      <w:tc>
        <w:tcPr>
          <w:tcW w:type="dxa" w:w="1296"/>
          <w:vMerge/>
        </w:tcPr>
        <w:p/>
      </w:tc>
      <w:tc>
        <w:tcPr>
          <w:tcW w:type="dxa" w:w="6048"/>
        </w:tcPr>
        <w:p>
          <w:pPr>
            <w:jc w:val="center"/>
          </w:pPr>
          <w:r>
            <w:rPr>
              <w:rFonts w:ascii="Times New Roman" w:hAnsi="Times New Roman" w:cs="Times New Roman" w:eastAsia="Times New Roman"/>
              <w:b/>
              <w:sz w:val="18"/>
            </w:rPr>
            <w:t>26/10/2026</w:t>
          </w:r>
        </w:p>
      </w:tc>
      <w:tc>
        <w:tcPr>
          <w:tcW w:type="dxa" w:w="1296"/>
          <w:vMerge/>
        </w:tcPr>
        <w:p/>
      </w:tc>
    </w:tr>
  </w:tbl>
  <w:p>
    <w:pPr>
      <w:pStyle w:val="Header"/>
      <w:jc w:val="right"/>
    </w:pPr>
    <w:r>
      <w:rPr>
        <w:rFonts w:ascii="Times New Roman" w:hAnsi="Times New Roman" w:cs="Times New Roman" w:eastAsia="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Comparación de Herramientas de Lectura Automática de Placas (LPR)</dc:title>
  <dc:subject>C.I.S.P.P.H. – Diseño de Software I</dc:subject>
  <dc:creator>Luis David Caicedo Rodríguez; Edisson David Vargas Castiblanco; Javier Santiago Pérez Tobon</dc:creator>
  <cp:keywords/>
  <dc:description>generated by python-docx</dc:description>
  <cp:lastModifiedBy/>
  <cp:revision>1</cp:revision>
  <dcterms:created xsi:type="dcterms:W3CDTF">2013-12-23T23:15:00Z</dcterms:created>
  <dcterms:modified xsi:type="dcterms:W3CDTF">2013-12-23T23:15:00Z</dcterms:modified>
  <cp:category/>
</cp:coreProperties>
</file>