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Definición de las Categorías VIS, VIP y No VIP</w:t>
      </w: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Luis David Caicedo Rodríguez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Edisson David Vargas Castiblanco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Javier Santiago Pérez Tobon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Escuela Tecnológica Instituto Técnico Central (ETITC)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Tecnología en Desarrollo de Software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Diseño de Software I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José Del Carmen Ortega Castro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26 de octubre de 2026</w:t>
      </w:r>
    </w:p>
    <w:p>
      <w:pPr>
        <w:keepNext w:val="0"/>
        <w:widowControl/>
        <w:spacing w:lineRule="auto" w:line="240" w:before="0" w:after="0"/>
      </w:pPr>
      <w:r>
        <w:br w:type="page"/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Definición de las Categorías VIS, VIP y No VIP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Nota de alcance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El cliente, el conjunto «Robles del Norte P.H.» y todas las cifras de este documento son ficticios: no hubo entrevistas ni observaciones con personas reales. Lo que se dice del cliente es una hipótesis de trabajo. El equipo usó Claude (Anthropic) como apoyo; las decisiones y la revisión final son del equipo y del docente.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Introducción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Las siglas VIS, VIP y No VIP pueden tener más de un significado en el contexto colombiano. Antes de usarlas como categorías del sistema, el equipo contrastó dos interpretaciones y adoptó una de ellas como definición de trabajo. Este documento registra esa decisión, sus límites y lo que sigue sin definir. Como el cliente es ficticio, la definición no fue validada con ninguna administración real: es una decisión del equipo pendiente de revisión del docente.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Dos interpretaciones posibles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Interpretación urbanística y legal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En la normativa de vivienda, VIS significa Vivienda de Interés Social y VIP, Vivienda de Interés Prioritario (Congreso de Colombia, 1997; Presidencia de la República de Colombia, 2015). Bajo esta lectura, las siglas describen un tipo de vivienda, no a un usuario ni a un vehículo.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Interpretación operativa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En el control de acceso, las siglas pueden usarse para clasificar a los usuarios o vehículos que utilizan el parqueadero y diferenciar el tratamiento que reciben en el ingreso y la salida.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Decisión del equipo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El caso ilustrativo no describe al conjunto como vivienda de interés social o prioritario, sino como un conjunto residencial convencional cuyo problema es el control de los parqueaderos (ver </w:t>
      </w:r>
      <w:r>
        <w:rPr>
          <w:rFonts w:ascii="Times New Roman" w:hAnsi="Times New Roman" w:cs="Times New Roman" w:eastAsia="Times New Roman"/>
          <w:b w:val="0"/>
          <w:i/>
          <w:sz w:val="24"/>
        </w:rPr>
        <w:t>Caso del Cliente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). Por eso el equipo descarta la interpretación urbanística para C.I.S.P.P.H. y adopta la operativa como </w:t>
      </w:r>
      <w:r>
        <w:rPr>
          <w:rFonts w:ascii="Times New Roman" w:hAnsi="Times New Roman" w:cs="Times New Roman" w:eastAsia="Times New Roman"/>
          <w:b/>
          <w:i w:val="0"/>
          <w:sz w:val="24"/>
        </w:rPr>
        <w:t>definición de trabajo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.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1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Categorías operativas de C.I.S.P.P.H. (definición de trabajo)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296"/>
        <w:gridCol w:w="2448"/>
        <w:gridCol w:w="3744"/>
        <w:gridCol w:w="1872"/>
      </w:tblGrid>
      <w:tr>
        <w:trPr>
          <w:tblHeader w:val="true"/>
          <w:cantSplit w:val="true"/>
        </w:trPr>
        <w:tc>
          <w:tcPr>
            <w:tcW w:type="dxa" w:w="1296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Categoría</w:t>
            </w:r>
          </w:p>
        </w:tc>
        <w:tc>
          <w:tcPr>
            <w:tcW w:type="dxa" w:w="2448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Significado</w:t>
            </w:r>
          </w:p>
        </w:tc>
        <w:tc>
          <w:tcPr>
            <w:tcW w:type="dxa" w:w="3744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Quién pertenece</w:t>
            </w:r>
          </w:p>
        </w:tc>
        <w:tc>
          <w:tcPr>
            <w:tcW w:type="dxa" w:w="1872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Parqueadero</w:t>
            </w:r>
          </w:p>
        </w:tc>
      </w:tr>
      <w:tr>
        <w:trPr>
          <w:cantSplit w:val="true"/>
        </w:trPr>
        <w:tc>
          <w:tcPr>
            <w:tcW w:type="dxa" w:w="1296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 VIP</w:t>
            </w:r>
          </w:p>
        </w:tc>
        <w:tc>
          <w:tcPr>
            <w:tcW w:type="dxa" w:w="2448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Usuario o vehículo regular del conjunto</w:t>
            </w:r>
          </w:p>
        </w:tc>
        <w:tc>
          <w:tcPr>
            <w:tcW w:type="dxa" w:w="3744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Propietarios y arrendatarios vigentes con parqueadero privado asignado</w:t>
            </w:r>
          </w:p>
        </w:tc>
        <w:tc>
          <w:tcPr>
            <w:tcW w:type="dxa" w:w="1872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Privado (210 en el caso)</w:t>
            </w:r>
          </w:p>
        </w:tc>
      </w:tr>
      <w:tr>
        <w:trPr>
          <w:cantSplit w:val="true"/>
        </w:trPr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VIS</w:t>
            </w:r>
          </w:p>
        </w:tc>
        <w:tc>
          <w:tcPr>
            <w:tcW w:type="dxa" w:w="244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Visitante</w:t>
            </w:r>
          </w:p>
        </w:tc>
        <w:tc>
          <w:tcPr>
            <w:tcW w:type="dxa" w:w="37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Cualquier persona que ingresa temporalmente, sin subcategorías</w:t>
            </w:r>
          </w:p>
        </w:tc>
        <w:tc>
          <w:tcPr>
            <w:tcW w:type="dxa" w:w="187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Cupos comunes de visitantes (15 en el caso)</w:t>
            </w:r>
          </w:p>
        </w:tc>
      </w:tr>
      <w:tr>
        <w:trPr>
          <w:cantSplit w:val="true"/>
        </w:trPr>
        <w:tc>
          <w:tcPr>
            <w:tcW w:type="dxa" w:w="1296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VIP</w:t>
            </w:r>
          </w:p>
        </w:tc>
        <w:tc>
          <w:tcPr>
            <w:tcW w:type="dxa" w:w="2448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Usuario o vehículo con trato diferenciado por su rol en un momento dado</w:t>
            </w:r>
          </w:p>
        </w:tc>
        <w:tc>
          <w:tcPr>
            <w:tcW w:type="dxa" w:w="3744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Miembros del Consejo de Administración en ejercicio de sus funciones, la administración y proveedores o atención de emergencia autorizados expresamente</w:t>
            </w:r>
          </w:p>
        </w:tc>
        <w:tc>
          <w:tcPr>
            <w:tcW w:type="dxa" w:w="1872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Sin parqueadero reservado</w:t>
            </w:r>
          </w:p>
        </w:tc>
      </w:tr>
    </w:tbl>
    <w:p>
      <w:pPr>
        <w:keepNext w:val="0"/>
        <w:widowControl/>
        <w:spacing w:lineRule="auto" w:line="240" w:before="80" w:after="200"/>
        <w:jc w:val="left"/>
      </w:pPr>
      <w:r>
        <w:rPr>
          <w:rFonts w:ascii="Times New Roman" w:hAnsi="Times New Roman" w:cs="Times New Roman" w:eastAsia="Times New Roman"/>
          <w:i/>
          <w:sz w:val="20"/>
        </w:rPr>
        <w:t xml:space="preserve">Nota. </w:t>
      </w:r>
      <w:r>
        <w:rPr>
          <w:rFonts w:ascii="Times New Roman" w:hAnsi="Times New Roman" w:cs="Times New Roman" w:eastAsia="Times New Roman"/>
          <w:b w:val="0"/>
          <w:i w:val="0"/>
          <w:sz w:val="20"/>
        </w:rPr>
        <w:t>Elaboración propia. VIP no implica tarifa, prioridad de paso ni cupo reservado.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En coherencia con la Ley 675 de 2001, los parqueaderos de visitantes son bienes comunes de uso general y no pueden asignarse de forma exclusiva a un apartamento (Congreso de Colombia, 2001, art. 22). Por eso ninguna categoría concede un cupo de visitantes permanente.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Usos de las categorías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Las categorías se usan como atributo del vehículo o del usuario en el modelo de datos, en el formulario de registro, en la inspección del guarda y en el historial del simulador. En el simulador, la categoría VIP se asigna con un campo «Motivo VIP» obligatorio, para que quede constancia de por qué un registro recibe ese trato.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Aspectos sin definir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Si VIP implica alguna prioridad de paso en la barrera o un registro distinto.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La lista oficial de personas y situaciones que califican como VIP, que sería decisión del órgano de administración de un conjunto real.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Cualquier tarifa, tiempo de gracia o condición de cobro diferenciada: no se define y no se simula como regla del proyecto.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La ratificación de esta definición por el docente.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Registro final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C.I.S.P.P.H. adopta, como definición de trabajo, tres categorías operativas: No VIP (usuario regular con parqueadero privado), VIS (visitante) y VIP (usuario con trato diferenciado por rol, sin tarifa ni cupo reservado). Estado: pendiente de revisión del docente.</w:t>
      </w:r>
    </w:p>
    <w:p>
      <w:pPr>
        <w:keepNext w:val="0"/>
        <w:widowControl/>
        <w:spacing w:lineRule="auto" w:line="240" w:before="0" w:after="0"/>
      </w:pPr>
      <w:r>
        <w:br w:type="page"/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Referencias</w:t>
      </w:r>
    </w:p>
    <w:p>
      <w:pPr>
        <w:keepNext w:val="0"/>
        <w:widowControl/>
        <w:spacing w:lineRule="auto" w:line="480" w:before="0" w:after="0"/>
        <w:ind w:left="720" w:hanging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Congreso de Colombia. (1997, 18 de julio). </w:t>
      </w:r>
      <w:r>
        <w:rPr>
          <w:rFonts w:ascii="Times New Roman" w:hAnsi="Times New Roman" w:cs="Times New Roman" w:eastAsia="Times New Roman"/>
          <w:b w:val="0"/>
          <w:i/>
          <w:sz w:val="24"/>
        </w:rPr>
        <w:t>Ley 388 de 1997: Por la cual se modifica la Ley 9.ª de 1989 y la Ley 3.ª de 1991 y se dictan otras disposiciones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.</w:t>
      </w:r>
    </w:p>
    <w:p>
      <w:pPr>
        <w:keepNext w:val="0"/>
        <w:widowControl/>
        <w:spacing w:lineRule="auto" w:line="480" w:before="0" w:after="0"/>
        <w:ind w:left="720" w:hanging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Congreso de Colombia. (2001, 3 de agosto). </w:t>
      </w:r>
      <w:r>
        <w:rPr>
          <w:rFonts w:ascii="Times New Roman" w:hAnsi="Times New Roman" w:cs="Times New Roman" w:eastAsia="Times New Roman"/>
          <w:b w:val="0"/>
          <w:i/>
          <w:sz w:val="24"/>
        </w:rPr>
        <w:t>Ley 675 de 2001: Por medio de la cual se expide el régimen de propiedad horizontal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. Diario Oficial n.º 44.509. https://normas.cra.gov.co/gestor/docs/ley_0675_2001.htm</w:t>
      </w:r>
    </w:p>
    <w:p>
      <w:pPr>
        <w:keepNext w:val="0"/>
        <w:widowControl/>
        <w:spacing w:lineRule="auto" w:line="480" w:before="0" w:after="0"/>
        <w:ind w:left="720" w:hanging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Presidencia de la República de Colombia. (2015, 26 de mayo). </w:t>
      </w:r>
      <w:r>
        <w:rPr>
          <w:rFonts w:ascii="Times New Roman" w:hAnsi="Times New Roman" w:cs="Times New Roman" w:eastAsia="Times New Roman"/>
          <w:b w:val="0"/>
          <w:i/>
          <w:sz w:val="24"/>
        </w:rPr>
        <w:t>Decreto 1077 de 2015: Por medio del cual se expide el Decreto Único Reglamentario del Sector Vivienda, Ciudad y Territorio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.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ook w:firstColumn="1" w:firstRow="1" w:lastColumn="0" w:lastRow="0" w:noHBand="0" w:noVBand="1" w:val="04A0"/>
      <w:tblBorders>
        <w:top w:val="single" w:sz="6" w:color="000000"/>
        <w:left w:val="single" w:sz="6" w:color="000000"/>
        <w:bottom w:val="single" w:sz="6" w:color="000000"/>
        <w:right w:val="single" w:sz="6" w:color="000000"/>
        <w:insideH w:val="single" w:sz="6" w:color="000000"/>
        <w:insideV w:val="single" w:sz="6" w:color="000000"/>
      </w:tblBorders>
    </w:tblPr>
    <w:tblGrid>
      <w:gridCol w:w="2880"/>
      <w:gridCol w:w="2880"/>
      <w:gridCol w:w="2880"/>
    </w:tblGrid>
    <w:tr>
      <w:tc>
        <w:tcPr>
          <w:tcW w:type="dxa" w:w="1296"/>
          <w:vMerge w:val="restart"/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640080" cy="602428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etitc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0080" cy="602428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048"/>
        </w:tcPr>
        <w:p>
          <w:pPr>
            <w:jc w:val="center"/>
          </w:pPr>
          <w:r>
            <w:rPr>
              <w:rFonts w:ascii="Times New Roman" w:hAnsi="Times New Roman" w:cs="Times New Roman" w:eastAsia="Times New Roman"/>
              <w:b/>
              <w:sz w:val="18"/>
            </w:rPr>
            <w:t>Tecnología en Desarrollo de Software de la Escuela Tecnológica Instituto Técnico Central (ETITC)</w:t>
          </w:r>
        </w:p>
      </w:tc>
      <w:tc>
        <w:tcPr>
          <w:tcW w:type="dxa" w:w="1296"/>
          <w:vMerge w:val="restart"/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640080" cy="477926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calidad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0080" cy="477926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  <w:tr>
      <w:tc>
        <w:tcPr>
          <w:tcW w:type="dxa" w:w="1296"/>
          <w:vMerge/>
        </w:tcPr>
        <w:p/>
      </w:tc>
      <w:tc>
        <w:tcPr>
          <w:tcW w:type="dxa" w:w="6048"/>
        </w:tcPr>
        <w:p>
          <w:pPr>
            <w:jc w:val="center"/>
          </w:pPr>
          <w:r>
            <w:rPr>
              <w:rFonts w:ascii="Times New Roman" w:hAnsi="Times New Roman" w:cs="Times New Roman" w:eastAsia="Times New Roman"/>
              <w:b/>
              <w:sz w:val="18"/>
            </w:rPr>
            <w:t>26/10/2026</w:t>
          </w:r>
        </w:p>
      </w:tc>
      <w:tc>
        <w:tcPr>
          <w:tcW w:type="dxa" w:w="1296"/>
          <w:vMerge/>
        </w:tcPr>
        <w:p/>
      </w:tc>
    </w:tr>
  </w:tbl>
  <w:p>
    <w:pPr>
      <w:pStyle w:val="Header"/>
      <w:jc w:val="right"/>
    </w:pPr>
    <w:r>
      <w:rPr>
        <w:rFonts w:ascii="Times New Roman" w:hAnsi="Times New Roman" w:cs="Times New Roman" w:eastAsia="Times New Roman"/>
        <w:sz w:val="24"/>
      </w:rPr>
      <w:fldChar w:fldCharType="begin"/>
      <w:instrText xml:space="preserve">PAGE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Definición de las Categorías VIS, VIP y No VIP</dc:title>
  <dc:subject>C.I.S.P.P.H. – Diseño de Software I</dc:subject>
  <dc:creator>Luis David Caicedo Rodríguez; Edisson David Vargas Castiblanco; Javier Santiago Pérez Tobon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