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Observación Indirecta del Proyecto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Observación Indirecta del Proyecto C.I.S.P.P.H.</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cliente, el conjunto «Robles del Norte P.H.» y todas las cifras de este documento son ficticios: no hubo entrevistas ni observaciones con personas reales. Lo que se dice del cliente es una hipótesis de trabajo. El equipo usó Claude (Anthropic) como apoyo; las decisiones y la revisión final son del equipo y del docente.</w:t>
      </w:r>
    </w:p>
    <w:p>
      <w:pPr>
        <w:keepNext/>
        <w:widowControl/>
        <w:spacing w:lineRule="auto" w:line="480" w:before="0" w:after="0"/>
        <w:jc w:val="center"/>
      </w:pPr>
      <w:r>
        <w:rPr>
          <w:rFonts w:ascii="Times New Roman" w:hAnsi="Times New Roman" w:cs="Times New Roman" w:eastAsia="Times New Roman"/>
          <w:b/>
          <w:i w:val="0"/>
          <w:sz w:val="24"/>
        </w:rPr>
        <w:t>Objetivo y método</w:t>
      </w:r>
    </w:p>
    <w:p>
      <w:pPr>
        <w:keepNext w:val="0"/>
        <w:widowControl/>
        <w:spacing w:lineRule="auto" w:line="480" w:before="0" w:after="0"/>
        <w:ind w:firstLine="720"/>
        <w:jc w:val="left"/>
      </w:pPr>
      <w:r>
        <w:rPr>
          <w:rFonts w:ascii="Times New Roman" w:hAnsi="Times New Roman" w:cs="Times New Roman" w:eastAsia="Times New Roman"/>
          <w:b w:val="0"/>
          <w:i w:val="0"/>
          <w:sz w:val="24"/>
        </w:rPr>
        <w:t>La observación indirecta consiste en estudiar fuentes secundarias para entender cómo funcionan los sistemas de control de acceso vehicular y qué lecciones dejan para el diseño. Como el cliente es ficticio, esta es la única forma de observación disponible para el equipo; sus conclusiones son referencias de diseño y no describen el proceso de ningún conjunto real.</w:t>
      </w:r>
    </w:p>
    <w:p>
      <w:pPr>
        <w:keepNext/>
        <w:widowControl/>
        <w:spacing w:lineRule="auto" w:line="480" w:before="0" w:after="0"/>
        <w:jc w:val="center"/>
      </w:pPr>
      <w:r>
        <w:rPr>
          <w:rFonts w:ascii="Times New Roman" w:hAnsi="Times New Roman" w:cs="Times New Roman" w:eastAsia="Times New Roman"/>
          <w:b/>
          <w:i w:val="0"/>
          <w:sz w:val="24"/>
        </w:rPr>
        <w:t>Fuentes revisadas</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Fuentes de la observación indirecta</w:t>
      </w:r>
    </w:p>
    <w:tbl>
      <w:tblPr>
        <w:jc w:val="center"/>
        <w:tblLayout w:type="fixed"/>
        <w:tblLook w:firstColumn="1" w:firstRow="1" w:lastColumn="0" w:lastRow="0" w:noHBand="0" w:noVBand="1" w:val="04A0"/>
        <w:tblLayout w:type="fixed"/>
        <w:tblW w:w="9360" w:type="dxa"/>
      </w:tblPr>
      <w:tblGrid>
        <w:gridCol w:w="2736"/>
        <w:gridCol w:w="3600"/>
        <w:gridCol w:w="3024"/>
      </w:tblGrid>
      <w:tr>
        <w:trPr>
          <w:tblHeader w:val="true"/>
          <w:cantSplit w:val="true"/>
        </w:trPr>
        <w:tc>
          <w:tcPr>
            <w:tcW w:type="dxa" w:w="273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Fuente</w:t>
            </w:r>
          </w:p>
        </w:tc>
        <w:tc>
          <w:tcPr>
            <w:tcW w:type="dxa" w:w="360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Qué se observó</w:t>
            </w:r>
          </w:p>
        </w:tc>
        <w:tc>
          <w:tcPr>
            <w:tcW w:type="dxa" w:w="302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Aporte al proyecto</w:t>
            </w:r>
          </w:p>
        </w:tc>
      </w:tr>
      <w:tr>
        <w:trPr>
          <w:cantSplit w:val="true"/>
        </w:trPr>
        <w:tc>
          <w:tcPr>
            <w:tcW w:type="dxa" w:w="273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Gómez Meza y Morales Calderón (2025), tesis de la Universidad Politécnica Salesiana</w:t>
            </w:r>
          </w:p>
        </w:tc>
        <w:tc>
          <w:tcPr>
            <w:tcW w:type="dxa" w:w="360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Prototipo de control de acceso vehicular con RFID y aplicación móvil; los autores reportan reducciones de congestión en la entrada y la salida (71 % a 80 % y 72 % a 81,8 %) en su prototipo</w:t>
            </w:r>
          </w:p>
        </w:tc>
        <w:tc>
          <w:tcPr>
            <w:tcW w:type="dxa" w:w="302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Referente de identificación automática y consulta remota; las cifras son de ese estudio y no se extrapolan a C.I.S.P.P.H.</w:t>
            </w:r>
          </w:p>
        </w:tc>
      </w:tr>
      <w:tr>
        <w:trPr>
          <w:cantSplit w:val="true"/>
        </w:trPr>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Galindo y Hernández (2020), artículo de la revista Tekhnê</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Sistema embebido de bajo costo con contraseña y alarma tras tres intentos incorrectos, simulado con Verilog</w:t>
            </w:r>
          </w:p>
        </w:tc>
        <w:tc>
          <w:tcPr>
            <w:tcW w:type="dxa" w:w="302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Respalda la regla de bloqueo por intentos fallidos que se usa en el simulador</w:t>
            </w:r>
          </w:p>
        </w:tc>
      </w:tr>
      <w:tr>
        <w:trPr>
          <w:cantSplit w:val="true"/>
        </w:trPr>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SunFounder (s. f.), proyecto RFID Access</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Lectura de tarjeta RFID, comparación del UID con uno autorizado, servomotor, pantalla LCD y buzzer</w:t>
            </w:r>
          </w:p>
        </w:tc>
        <w:tc>
          <w:tcPr>
            <w:tcW w:type="dxa" w:w="302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Base para el prototipo Arduino del proyecto</w:t>
            </w:r>
          </w:p>
        </w:tc>
      </w:tr>
      <w:tr>
        <w:trPr>
          <w:cantSplit w:val="true"/>
        </w:trPr>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Documentación de Plate Recognizer, OpenALPR y SimpleLPR</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Lectura automática de placas por software</w:t>
            </w:r>
          </w:p>
        </w:tc>
        <w:tc>
          <w:tcPr>
            <w:tcW w:type="dxa" w:w="302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Ver el documento de comparación de herramientas LPR</w:t>
            </w:r>
          </w:p>
        </w:tc>
      </w:tr>
      <w:tr>
        <w:trPr>
          <w:cantSplit w:val="true"/>
        </w:trPr>
        <w:tc>
          <w:tcPr>
            <w:tcW w:type="dxa" w:w="273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Ley 675 de 2001 y Ley 1581 de 2012</w:t>
            </w:r>
          </w:p>
        </w:tc>
        <w:tc>
          <w:tcPr>
            <w:tcW w:type="dxa" w:w="360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Bienes comunes y datos personales</w:t>
            </w:r>
          </w:p>
        </w:tc>
        <w:tc>
          <w:tcPr>
            <w:tcW w:type="dxa" w:w="302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Ver el documento de investigación normativa</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Las cifras de la primera fila provienen del resumen de la tesis citada.</w:t>
      </w:r>
    </w:p>
    <w:p>
      <w:pPr>
        <w:keepNext/>
        <w:widowControl/>
        <w:spacing w:lineRule="auto" w:line="480" w:before="0" w:after="0"/>
        <w:jc w:val="center"/>
      </w:pPr>
      <w:r>
        <w:rPr>
          <w:rFonts w:ascii="Times New Roman" w:hAnsi="Times New Roman" w:cs="Times New Roman" w:eastAsia="Times New Roman"/>
          <w:b/>
          <w:i w:val="0"/>
          <w:sz w:val="24"/>
        </w:rPr>
        <w:t>Hallazgos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La identificación automática (RFID o lectura de placa) puede reducir la intervención manual, pero la evidencia revisada proviene de prototipos y no prueba el efecto en un conjunto concreto (Gómez Meza y Morales Calderón, 2025).</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Un control con intentos limitados y alarma es una práctica documentada en sistemas de bajo costo (Galindo y Hernández, 2020).</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Un prototipo con microcontrolador, lector RFID, servo y pantalla es alcanzable con componentes comunes (SunFounder, s. f.).</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Toda identificación de personas o vehículos implica tratar datos personales, lo que exige diseñar con minimización y finalidad definida (Congreso de Colombia, 2012).</w:t>
      </w:r>
    </w:p>
    <w:p>
      <w:pPr>
        <w:keepNext/>
        <w:widowControl/>
        <w:spacing w:lineRule="auto" w:line="480" w:before="0" w:after="0"/>
        <w:jc w:val="center"/>
      </w:pPr>
      <w:r>
        <w:rPr>
          <w:rFonts w:ascii="Times New Roman" w:hAnsi="Times New Roman" w:cs="Times New Roman" w:eastAsia="Times New Roman"/>
          <w:b/>
          <w:i w:val="0"/>
          <w:sz w:val="24"/>
        </w:rPr>
        <w:t>Limitaciones</w:t>
      </w:r>
    </w:p>
    <w:p>
      <w:pPr>
        <w:keepNext w:val="0"/>
        <w:widowControl/>
        <w:spacing w:lineRule="auto" w:line="480" w:before="0" w:after="0"/>
        <w:ind w:firstLine="720"/>
        <w:jc w:val="left"/>
      </w:pPr>
      <w:r>
        <w:rPr>
          <w:rFonts w:ascii="Times New Roman" w:hAnsi="Times New Roman" w:cs="Times New Roman" w:eastAsia="Times New Roman"/>
          <w:b w:val="0"/>
          <w:i w:val="0"/>
          <w:sz w:val="24"/>
        </w:rPr>
        <w:t>No se consultaron manuales comerciales de plataformas de administración de propiedad horizontal; las versiones anteriores del documento las mencionaban sin fuente verificable, por lo que se retiraron. Tampoco se verificó que la automatización reduzca las colas en un conjunto como el del caso; esa afirmación queda como hipótesis.</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(2012, 17 de octubre). </w:t>
      </w:r>
      <w:r>
        <w:rPr>
          <w:rFonts w:ascii="Times New Roman" w:hAnsi="Times New Roman" w:cs="Times New Roman" w:eastAsia="Times New Roman"/>
          <w:b w:val="0"/>
          <w:i/>
          <w:sz w:val="24"/>
        </w:rPr>
        <w:t>Ley 1581 de 2012: Por la cual se dictan disposiciones generales para la protección de datos personales</w:t>
      </w:r>
      <w:r>
        <w:rPr>
          <w:rFonts w:ascii="Times New Roman" w:hAnsi="Times New Roman" w:cs="Times New Roman" w:eastAsia="Times New Roman"/>
          <w:b w:val="0"/>
          <w:i w:val="0"/>
          <w:sz w:val="24"/>
        </w:rPr>
        <w:t>.</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Galindo G., S. A., y Hernández G., H. D. (2020). Password-based vehicle access control system for parking lots designed and simulated in Verilog. </w:t>
      </w:r>
      <w:r>
        <w:rPr>
          <w:rFonts w:ascii="Times New Roman" w:hAnsi="Times New Roman" w:cs="Times New Roman" w:eastAsia="Times New Roman"/>
          <w:b w:val="0"/>
          <w:i/>
          <w:sz w:val="24"/>
        </w:rPr>
        <w:t>Tekhnê, 17</w:t>
      </w:r>
      <w:r>
        <w:rPr>
          <w:rFonts w:ascii="Times New Roman" w:hAnsi="Times New Roman" w:cs="Times New Roman" w:eastAsia="Times New Roman"/>
          <w:b w:val="0"/>
          <w:i w:val="0"/>
          <w:sz w:val="24"/>
        </w:rPr>
        <w:t>(1), 61–68. https://revistas.udistrital.edu.co/index.php/tekhne/article/view/19965</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Gómez Meza, T. J., y Morales Calderón, R. A. (2025). </w:t>
      </w:r>
      <w:r>
        <w:rPr>
          <w:rFonts w:ascii="Times New Roman" w:hAnsi="Times New Roman" w:cs="Times New Roman" w:eastAsia="Times New Roman"/>
          <w:b w:val="0"/>
          <w:i/>
          <w:sz w:val="24"/>
        </w:rPr>
        <w:t>Desarrollo de un prototipo para control de acceso vehicular de parqueaderos con tecnología RFID y aplicación móvil</w:t>
      </w:r>
      <w:r>
        <w:rPr>
          <w:rFonts w:ascii="Times New Roman" w:hAnsi="Times New Roman" w:cs="Times New Roman" w:eastAsia="Times New Roman"/>
          <w:b w:val="0"/>
          <w:i w:val="0"/>
          <w:sz w:val="24"/>
        </w:rPr>
        <w:t xml:space="preserve"> [Tesis de grado, Universidad Politécnica Salesiana]. Repositorio Institucional UPS. https://dspace.ups.edu.ec/handle/123456789/30429</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SunFounder. (s. f.). </w:t>
      </w:r>
      <w:r>
        <w:rPr>
          <w:rFonts w:ascii="Times New Roman" w:hAnsi="Times New Roman" w:cs="Times New Roman" w:eastAsia="Times New Roman"/>
          <w:b w:val="0"/>
          <w:i/>
          <w:sz w:val="24"/>
        </w:rPr>
        <w:t>RFID Access 6.0</w:t>
      </w:r>
      <w:r>
        <w:rPr>
          <w:rFonts w:ascii="Times New Roman" w:hAnsi="Times New Roman" w:cs="Times New Roman" w:eastAsia="Times New Roman"/>
          <w:b w:val="0"/>
          <w:i w:val="0"/>
          <w:sz w:val="24"/>
        </w:rPr>
        <w:t xml:space="preserve"> [Documentación de proyecto Arduino]. https://docs.sunfounder.com/projects/summary-of-fun-projects/en/latest/arduino/rfid_access6.0.html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880"/>
      <w:gridCol w:w="2880"/>
      <w:gridCol w:w="2880"/>
    </w:tblGrid>
    <w:tr>
      <w:tc>
        <w:tcPr>
          <w:tcW w:type="dxa" w:w="1296"/>
          <w:vMerge w:val="restart"/>
        </w:tcPr>
        <w:p>
          <w:pPr>
            <w:jc w:val="center"/>
          </w:pPr>
          <w:r>
            <w:drawing>
              <wp:inline xmlns:a="http://schemas.openxmlformats.org/drawingml/2006/main" xmlns:pic="http://schemas.openxmlformats.org/drawingml/2006/picture">
                <wp:extent cx="640080" cy="602428"/>
                <wp:docPr id="1" name="Picture 1"/>
                <wp:cNvGraphicFramePr>
                  <a:graphicFrameLocks noChangeAspect="1"/>
                </wp:cNvGraphicFramePr>
                <a:graphic>
                  <a:graphicData uri="http://schemas.openxmlformats.org/drawingml/2006/picture">
                    <pic:pic>
                      <pic:nvPicPr>
                        <pic:cNvPr id="0" name="logo_etitc.png"/>
                        <pic:cNvPicPr/>
                      </pic:nvPicPr>
                      <pic:blipFill>
                        <a:blip r:embed="rId1"/>
                        <a:stretch>
                          <a:fillRect/>
                        </a:stretch>
                      </pic:blipFill>
                      <pic:spPr>
                        <a:xfrm>
                          <a:off x="0" y="0"/>
                          <a:ext cx="640080" cy="602428"/>
                        </a:xfrm>
                        <a:prstGeom prst="rect"/>
                      </pic:spPr>
                    </pic:pic>
                  </a:graphicData>
                </a:graphic>
              </wp:inline>
            </w:drawing>
          </w:r>
        </w:p>
      </w:tc>
      <w:tc>
        <w:tcPr>
          <w:tcW w:type="dxa" w:w="6048"/>
        </w:tcPr>
        <w:p>
          <w:pPr>
            <w:jc w:val="center"/>
          </w:pPr>
          <w:r>
            <w:rPr>
              <w:rFonts w:ascii="Times New Roman" w:hAnsi="Times New Roman" w:cs="Times New Roman" w:eastAsia="Times New Roman"/>
              <w:b/>
              <w:sz w:val="18"/>
            </w:rPr>
            <w:t>Tecnología en Desarrollo de Software de la Escuela Tecnológica Instituto Técnico Central (ETITC)</w:t>
          </w:r>
        </w:p>
      </w:tc>
      <w:tc>
        <w:tcPr>
          <w:tcW w:type="dxa" w:w="1296"/>
          <w:vMerge w:val="restart"/>
        </w:tcPr>
        <w:p>
          <w:pPr>
            <w:jc w:val="center"/>
          </w:pPr>
          <w:r>
            <w:drawing>
              <wp:inline xmlns:a="http://schemas.openxmlformats.org/drawingml/2006/main" xmlns:pic="http://schemas.openxmlformats.org/drawingml/2006/picture">
                <wp:extent cx="640080" cy="477926"/>
                <wp:docPr id="2" name="Picture 2"/>
                <wp:cNvGraphicFramePr>
                  <a:graphicFrameLocks noChangeAspect="1"/>
                </wp:cNvGraphicFramePr>
                <a:graphic>
                  <a:graphicData uri="http://schemas.openxmlformats.org/drawingml/2006/picture">
                    <pic:pic>
                      <pic:nvPicPr>
                        <pic:cNvPr id="0" name="logo_calidad.png"/>
                        <pic:cNvPicPr/>
                      </pic:nvPicPr>
                      <pic:blipFill>
                        <a:blip r:embed="rId2"/>
                        <a:stretch>
                          <a:fillRect/>
                        </a:stretch>
                      </pic:blipFill>
                      <pic:spPr>
                        <a:xfrm>
                          <a:off x="0" y="0"/>
                          <a:ext cx="640080" cy="477926"/>
                        </a:xfrm>
                        <a:prstGeom prst="rect"/>
                      </pic:spPr>
                    </pic:pic>
                  </a:graphicData>
                </a:graphic>
              </wp:inline>
            </w:drawing>
          </w:r>
        </w:p>
      </w:tc>
    </w:tr>
    <w:tr>
      <w:tc>
        <w:tcPr>
          <w:tcW w:type="dxa" w:w="1296"/>
          <w:vMerge/>
        </w:tcPr>
        <w:p/>
      </w:tc>
      <w:tc>
        <w:tcPr>
          <w:tcW w:type="dxa" w:w="6048"/>
        </w:tcPr>
        <w:p>
          <w:pPr>
            <w:jc w:val="center"/>
          </w:pPr>
          <w:r>
            <w:rPr>
              <w:rFonts w:ascii="Times New Roman" w:hAnsi="Times New Roman" w:cs="Times New Roman" w:eastAsia="Times New Roman"/>
              <w:b/>
              <w:sz w:val="18"/>
            </w:rPr>
            <w:t>26/10/2026</w:t>
          </w:r>
        </w:p>
      </w:tc>
      <w:tc>
        <w:tcPr>
          <w:tcW w:type="dxa" w:w="1296"/>
          <w:vMerge/>
        </w:tcPr>
        <w:p/>
      </w:tc>
    </w:tr>
  </w:tbl>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Observación Indirecta del Proyecto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