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Informe de Pruebas del Simulador y del Prototipo</w:t>
      </w:r>
    </w:p>
    <w:p>
      <w:pPr>
        <w:keepNext w:val="0"/>
        <w:widowControl/>
        <w:spacing w:lineRule="auto" w:line="480" w:before="0" w:after="0"/>
      </w:pP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Luis David Caicedo Rodríguez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Edisson David Vargas Castiblanco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Javier Santiago Pérez Tobon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Escuela Tecnológica Instituto Técnico Central (ETITC)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Tecnología en Desarrollo de Software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Diseño de Software I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José Del Carmen Ortega Castro</w:t>
      </w:r>
    </w:p>
    <w:p>
      <w:pPr>
        <w:keepNext w:val="0"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26 de octubre de 2026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Informe de Pruebas del Simulador y del Prototipo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Nota de alcance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cliente, el conjunto «Robles del Norte P.H.» y todas las cifras de este documento son ficticios: no hubo entrevistas ni observaciones con personas reales. Lo que se dice del cliente es una hipótesis de trabajo. El equipo usó Claude (Anthropic) como apoyo; las decisiones y la revisión final son del equipo y del docente.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Introducción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Este informe separa con claridad lo que se ejecutó de lo que falta por ejecutar. Las pruebas automáticas verifican las reglas de decisión; las pruebas con personas, el tiempo por registro y el hardware no se han realizado.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Pruebas ejecutadas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1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Pruebas automáticas ejecutadas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3456"/>
        <w:gridCol w:w="3600"/>
        <w:gridCol w:w="2304"/>
      </w:tblGrid>
      <w:tr>
        <w:trPr>
          <w:tblHeader w:val="true"/>
          <w:cantSplit w:val="true"/>
        </w:trPr>
        <w:tc>
          <w:tcPr>
            <w:tcW w:type="dxa" w:w="345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Objeto</w:t>
            </w:r>
          </w:p>
        </w:tc>
        <w:tc>
          <w:tcPr>
            <w:tcW w:type="dxa" w:w="360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Herramienta</w:t>
            </w:r>
          </w:p>
        </w:tc>
        <w:tc>
          <w:tcPr>
            <w:tcW w:type="dxa" w:w="2304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Núcleo de reglas del simulador (Sistema)</w:t>
            </w:r>
          </w:p>
        </w:tc>
        <w:tc>
          <w:tcPr>
            <w:tcW w:type="dxa" w:w="360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Script de pruebas de Godot 4.7.2 en modo sin interfaz</w:t>
            </w:r>
          </w:p>
        </w:tc>
        <w:tc>
          <w:tcPr>
            <w:tcW w:type="dxa" w:w="2304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 fallos en la última ejecución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Núcleo de reglas del prototipo (cispph_core.h)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g++ 13.3 con -Wall -Wextra -Wpedantic</w:t>
            </w:r>
          </w:p>
        </w:tc>
        <w:tc>
          <w:tcPr>
            <w:tcW w:type="dxa" w:w="2304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 pruebas, 0 fallos</w:t>
            </w:r>
          </w:p>
        </w:tc>
      </w:tr>
      <w:tr>
        <w:trPr>
          <w:cantSplit w:val="true"/>
        </w:trPr>
        <w:tc>
          <w:tcPr>
            <w:tcW w:type="dxa" w:w="345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Sketch del prototipo</w:t>
            </w:r>
          </w:p>
        </w:tc>
        <w:tc>
          <w:tcPr>
            <w:tcW w:type="dxa" w:w="360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Ejecución en PC con sustitutos de la API de Arduino</w:t>
            </w:r>
          </w:p>
        </w:tc>
        <w:tc>
          <w:tcPr>
            <w:tcW w:type="dxa" w:w="2304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Flujo de ingreso, salida y bloqueo según lo esperado</w:t>
            </w: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Los resultados provienen de ejecuciones del equipo de trabajo durante la elaboración del repositorio.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Las pruebas del prototipo cubren, entre otras, el ingreso y la salida de un residente, el cupo de visitantes, el bloqueo tras tres lecturas inválidas, el desbloqueo por tiempo (incluido el desborde del reloj de 32 bits) y el formato de la bitácora.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Pruebas pendientes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2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Verificación de requisitos pendiente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592"/>
        <w:gridCol w:w="4320"/>
        <w:gridCol w:w="2448"/>
      </w:tblGrid>
      <w:tr>
        <w:trPr>
          <w:tblHeader w:val="true"/>
          <w:cantSplit w:val="true"/>
        </w:trPr>
        <w:tc>
          <w:tcPr>
            <w:tcW w:type="dxa" w:w="259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Requisito</w:t>
            </w:r>
          </w:p>
        </w:tc>
        <w:tc>
          <w:tcPr>
            <w:tcW w:type="dxa" w:w="4320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Prueba prevista</w:t>
            </w:r>
          </w:p>
        </w:tc>
        <w:tc>
          <w:tcPr>
            <w:tcW w:type="dxa" w:w="244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RNF-003 Rendimiento</w:t>
            </w:r>
          </w:p>
        </w:tc>
        <w:tc>
          <w:tcPr>
            <w:tcW w:type="dxa" w:w="4320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Medir 20 registros consecutivos</w:t>
            </w:r>
          </w:p>
        </w:tc>
        <w:tc>
          <w:tcPr>
            <w:tcW w:type="dxa" w:w="244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 realizada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RNF-004 Usabilidad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Tarea «registrar ingreso» con personas ajenas al equipo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 realizada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RNF-005 Fallas de conexión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Simular pérdida de conexión en el registro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Parcial: el simulador incluye un error simulado; falta documentar la prueba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RNF-007 Contraste</w:t>
            </w:r>
          </w:p>
        </w:tc>
        <w:tc>
          <w:tcPr>
            <w:tcW w:type="dxa" w:w="4320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Medir contraste de las pantallas</w:t>
            </w:r>
          </w:p>
        </w:tc>
        <w:tc>
          <w:tcPr>
            <w:tcW w:type="dxa" w:w="2448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 realizada</w:t>
            </w:r>
          </w:p>
        </w:tc>
      </w:tr>
      <w:tr>
        <w:trPr>
          <w:cantSplit w:val="true"/>
        </w:trPr>
        <w:tc>
          <w:tcPr>
            <w:tcW w:type="dxa" w:w="259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Hardware</w:t>
            </w:r>
          </w:p>
        </w:tc>
        <w:tc>
          <w:tcPr>
            <w:tcW w:type="dxa" w:w="4320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Cablear y probar MFRC522, servo, LCD y buzzer</w:t>
            </w:r>
          </w:p>
        </w:tc>
        <w:tc>
          <w:tcPr>
            <w:tcW w:type="dxa" w:w="244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No realizada</w:t>
            </w:r>
          </w:p>
        </w:tc>
      </w:tr>
    </w:tbl>
    <w:p>
      <w:pPr>
        <w:keepNext w:val="0"/>
        <w:widowControl/>
        <w:spacing w:lineRule="auto" w:line="240" w:before="0" w:after="120"/>
      </w:pP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Registro de validación (plantilla)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/>
          <w:i w:val="0"/>
          <w:sz w:val="24"/>
        </w:rPr>
        <w:t>Tabla 3</w:t>
      </w:r>
    </w:p>
    <w:p>
      <w:pPr>
        <w:keepNext/>
        <w:widowControl/>
        <w:spacing w:lineRule="auto" w:line="480" w:before="0" w:after="0"/>
        <w:jc w:val="left"/>
      </w:pPr>
      <w:r>
        <w:rPr>
          <w:rFonts w:ascii="Times New Roman" w:hAnsi="Times New Roman" w:cs="Times New Roman" w:eastAsia="Times New Roman"/>
          <w:b w:val="0"/>
          <w:i/>
          <w:sz w:val="24"/>
        </w:rPr>
        <w:t>Registro de validación con participantes</w:t>
      </w:r>
    </w:p>
    <w:tbl>
      <w:tblPr>
        <w:jc w:val="center"/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007"/>
        <w:gridCol w:w="1728"/>
        <w:gridCol w:w="1872"/>
        <w:gridCol w:w="1007"/>
        <w:gridCol w:w="1007"/>
        <w:gridCol w:w="2736"/>
      </w:tblGrid>
      <w:tr>
        <w:trPr>
          <w:tblHeader w:val="true"/>
          <w:cantSplit w:val="true"/>
        </w:trPr>
        <w:tc>
          <w:tcPr>
            <w:tcW w:type="dxa" w:w="100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Fecha</w:t>
            </w:r>
          </w:p>
        </w:tc>
        <w:tc>
          <w:tcPr>
            <w:tcW w:type="dxa" w:w="172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Participante (rol)</w:t>
            </w:r>
          </w:p>
        </w:tc>
        <w:tc>
          <w:tcPr>
            <w:tcW w:type="dxa" w:w="1872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Tarea</w:t>
            </w:r>
          </w:p>
        </w:tc>
        <w:tc>
          <w:tcPr>
            <w:tcW w:type="dxa" w:w="100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Tiempo (s)</w:t>
            </w:r>
          </w:p>
        </w:tc>
        <w:tc>
          <w:tcPr>
            <w:tcW w:type="dxa" w:w="1008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Errores</w:t>
            </w:r>
          </w:p>
        </w:tc>
        <w:tc>
          <w:tcPr>
            <w:tcW w:type="dxa" w:w="2736"/>
            <w:tcBorders>
              <w:top w:val="single" w:sz="8" w:color="000000" w:space="0"/>
              <w:left w:val="nil"/>
              <w:bottom w:val="single" w:sz="6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100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72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872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00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008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736"/>
            <w:tcBorders>
              <w:top w:val="single" w:sz="6" w:color="000000" w:space="0"/>
              <w:left w:val="nil"/>
              <w:bottom w:val="nil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  <w:tr>
        <w:trPr>
          <w:cantSplit w:val="true"/>
        </w:trPr>
        <w:tc>
          <w:tcPr>
            <w:tcW w:type="dxa" w:w="100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72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872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00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1008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  <w:tc>
          <w:tcPr>
            <w:tcW w:type="dxa" w:w="2736"/>
            <w:tcBorders>
              <w:top w:val="nil"/>
              <w:left w:val="nil"/>
              <w:bottom w:val="single" w:sz="8" w:color="000000" w:space="0"/>
              <w:right w:val="nil"/>
            </w:tcBorders>
          </w:tcPr>
          <w:p>
            <w:pPr>
              <w:keepNext w:val="0"/>
              <w:widowControl/>
              <w:spacing w:lineRule="auto" w:line="240" w:before="40" w:after="40"/>
              <w:jc w:val="left"/>
            </w:pPr>
          </w:p>
        </w:tc>
      </w:tr>
    </w:tbl>
    <w:p>
      <w:pPr>
        <w:keepNext w:val="0"/>
        <w:widowControl/>
        <w:spacing w:lineRule="auto" w:line="240" w:before="80" w:after="200"/>
        <w:jc w:val="left"/>
      </w:pPr>
      <w:r>
        <w:rPr>
          <w:rFonts w:ascii="Times New Roman" w:hAnsi="Times New Roman" w:cs="Times New Roman" w:eastAsia="Times New Roman"/>
          <w:i/>
          <w:sz w:val="20"/>
        </w:rPr>
        <w:t xml:space="preserve">Nota. </w:t>
      </w:r>
      <w:r>
        <w:rPr>
          <w:rFonts w:ascii="Times New Roman" w:hAnsi="Times New Roman" w:cs="Times New Roman" w:eastAsia="Times New Roman"/>
          <w:b w:val="0"/>
          <w:i w:val="0"/>
          <w:sz w:val="20"/>
        </w:rPr>
        <w:t>Plantilla en blanco.</w:t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Limitaciones</w:t>
      </w:r>
    </w:p>
    <w:p>
      <w:pPr>
        <w:keepNext w:val="0"/>
        <w:widowControl/>
        <w:spacing w:lineRule="auto" w:line="480" w:before="0" w:after="0"/>
        <w:ind w:firstLine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El tiempo medido en el simulador incluye el tiempo de decisión de la persona y no equivale al RNF-003. Los criterios de verificación provienen del documento de requisitos, elaborado según ISO/IEC/IEEE (2018). Tampoco se ha escuchado el sonido del simulador ni se ha probado en un teléfono.</w:t>
      </w:r>
    </w:p>
    <w:p>
      <w:pPr>
        <w:keepNext w:val="0"/>
        <w:widowControl/>
        <w:spacing w:lineRule="auto" w:line="240" w:before="0" w:after="0"/>
      </w:pPr>
      <w:r>
        <w:br w:type="page"/>
      </w:r>
    </w:p>
    <w:p>
      <w:pPr>
        <w:keepNext/>
        <w:widowControl/>
        <w:spacing w:lineRule="auto" w:line="480" w:before="0" w:after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Referencias</w:t>
      </w:r>
    </w:p>
    <w:p>
      <w:pPr>
        <w:keepNext w:val="0"/>
        <w:widowControl/>
        <w:spacing w:lineRule="auto" w:line="480" w:before="0" w:after="0"/>
        <w:ind w:left="720" w:hanging="72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ISO/IEC/IEEE. (2018). </w:t>
      </w:r>
      <w:r>
        <w:rPr>
          <w:rFonts w:ascii="Times New Roman" w:hAnsi="Times New Roman" w:cs="Times New Roman" w:eastAsia="Times New Roman"/>
          <w:b w:val="0"/>
          <w:i/>
          <w:sz w:val="24"/>
        </w:rPr>
        <w:t>ISO/IEC/IEEE 29148:2018: Systems and software engineering — Life cycle processes — Requirements engineering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. IEEE.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single" w:sz="6" w:color="000000"/>
        <w:left w:val="single" w:sz="6" w:color="000000"/>
        <w:bottom w:val="single" w:sz="6" w:color="000000"/>
        <w:right w:val="single" w:sz="6" w:color="000000"/>
        <w:insideH w:val="single" w:sz="6" w:color="000000"/>
        <w:insideV w:val="single" w:sz="6" w:color="000000"/>
      </w:tblBorders>
    </w:tblPr>
    <w:tblGrid>
      <w:gridCol w:w="2880"/>
      <w:gridCol w:w="2880"/>
      <w:gridCol w:w="2880"/>
    </w:tblGrid>
    <w:tr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602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etitc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602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Tecnología en Desarrollo de Software de la Escuela Tecnológica Instituto Técnico Central (ETITC)</w:t>
          </w:r>
        </w:p>
      </w:tc>
      <w:tc>
        <w:tcPr>
          <w:tcW w:type="dxa" w:w="1296"/>
          <w:vMerge w:val="restart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47792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lidad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4779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  <w:tr>
      <w:tc>
        <w:tcPr>
          <w:tcW w:type="dxa" w:w="1296"/>
          <w:vMerge/>
        </w:tcPr>
        <w:p/>
      </w:tc>
      <w:tc>
        <w:tcPr>
          <w:tcW w:type="dxa" w:w="6048"/>
        </w:tcPr>
        <w:p>
          <w:pPr>
            <w:jc w:val="center"/>
          </w:pPr>
          <w:r>
            <w:rPr>
              <w:rFonts w:ascii="Times New Roman" w:hAnsi="Times New Roman" w:cs="Times New Roman" w:eastAsia="Times New Roman"/>
              <w:b/>
              <w:sz w:val="18"/>
            </w:rPr>
            <w:t>26/10/2026</w:t>
          </w:r>
        </w:p>
      </w:tc>
      <w:tc>
        <w:tcPr>
          <w:tcW w:type="dxa" w:w="1296"/>
          <w:vMerge/>
        </w:tcPr>
        <w:p/>
      </w:tc>
    </w:tr>
  </w:tbl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Pruebas del Simulador y del Prototipo</dc:title>
  <dc:subject>C.I.S.P.P.H. – Diseño de Software I</dc:subject>
  <dc:creator>Luis David Caicedo Rodríguez; Edisson David Vargas Castiblanco; Javier Santiago Pérez Tobon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