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Definición de Roles del Equipo</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Definición de Roles del Equipo</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Conjunto Residencial Robles del Norte P.H., su administración, el personal de vigilancia, los residentes y todas las cifras que aparecen en este documento son ficticios. Fueron construidos por el equipo con fines académicos, tomando como referencia la literatura sobre control de acceso vehicular y la Ley 675 de 2001. No existe un cliente real ni se realizaron entrevistas, encuestas ni observaciones con terceros. Toda afirmación sobre «el cliente» es una hipótesis de trabajo del caso ilustrativo. Para redactar y organizar este documento el equipo usó Claude (Anthropic) como herramienta de apoyo; las decisiones y la revisión final corresponden al equipo y al docente.</w:t>
      </w:r>
    </w:p>
    <w:p>
      <w:pPr>
        <w:keepNext/>
        <w:widowControl/>
        <w:spacing w:lineRule="auto" w:line="480" w:before="0" w:after="0"/>
        <w:jc w:val="center"/>
      </w:pPr>
      <w:r>
        <w:rPr>
          <w:rFonts w:ascii="Times New Roman" w:hAnsi="Times New Roman" w:cs="Times New Roman" w:eastAsia="Times New Roman"/>
          <w:b/>
          <w:i w:val="0"/>
          <w:sz w:val="24"/>
        </w:rPr>
        <w:t>Objetivo</w:t>
      </w:r>
    </w:p>
    <w:p>
      <w:pPr>
        <w:keepNext w:val="0"/>
        <w:widowControl/>
        <w:spacing w:lineRule="auto" w:line="480" w:before="0" w:after="0"/>
        <w:ind w:firstLine="720"/>
        <w:jc w:val="left"/>
      </w:pPr>
      <w:r>
        <w:rPr>
          <w:rFonts w:ascii="Times New Roman" w:hAnsi="Times New Roman" w:cs="Times New Roman" w:eastAsia="Times New Roman"/>
          <w:b w:val="0"/>
          <w:i w:val="0"/>
          <w:sz w:val="24"/>
        </w:rPr>
        <w:t>Dejar registrada la distribución de roles y responsabilidades del equipo del proyecto C.I.S.P.P.H. para organizar el trabajo colaborativo en cada etapa y facilitar el seguimiento de las actividades en Trello.</w:t>
      </w:r>
    </w:p>
    <w:p>
      <w:pPr>
        <w:keepNext/>
        <w:widowControl/>
        <w:spacing w:lineRule="auto" w:line="480" w:before="0" w:after="0"/>
        <w:jc w:val="center"/>
      </w:pPr>
      <w:r>
        <w:rPr>
          <w:rFonts w:ascii="Times New Roman" w:hAnsi="Times New Roman" w:cs="Times New Roman" w:eastAsia="Times New Roman"/>
          <w:b/>
          <w:i w:val="0"/>
          <w:sz w:val="24"/>
        </w:rPr>
        <w:t>Distribución de roles</w:t>
      </w:r>
    </w:p>
    <w:p>
      <w:pPr>
        <w:keepNext w:val="0"/>
        <w:widowControl/>
        <w:spacing w:lineRule="auto" w:line="480" w:before="0" w:after="0"/>
        <w:ind w:firstLine="720"/>
        <w:jc w:val="left"/>
      </w:pPr>
      <w:r>
        <w:rPr>
          <w:rFonts w:ascii="Times New Roman" w:hAnsi="Times New Roman" w:cs="Times New Roman" w:eastAsia="Times New Roman"/>
          <w:b w:val="0"/>
          <w:i w:val="0"/>
          <w:sz w:val="24"/>
        </w:rPr>
        <w:t>Los roles responden a la metodología ágil Scrum, que el syllabus incluye entre los contenidos de la asignatura (Escuela Tecnológica Instituto Técnico Central [ETITC], 2026). La siguiente asignación fue decidida por el equipo el 26 de agosto de 2026 y se conserva sin cambios en esta versión.</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Roles y responsabilidades</w:t>
      </w:r>
    </w:p>
    <w:tbl>
      <w:tblPr>
        <w:jc w:val="center"/>
        <w:tblLayout w:type="fixed"/>
        <w:tblLook w:firstColumn="1" w:firstRow="1" w:lastColumn="0" w:lastRow="0" w:noHBand="0" w:noVBand="1" w:val="04A0"/>
        <w:tblLayout w:type="fixed"/>
        <w:tblW w:w="9360" w:type="dxa"/>
      </w:tblPr>
      <w:tblGrid>
        <w:gridCol w:w="1728"/>
        <w:gridCol w:w="2592"/>
        <w:gridCol w:w="5040"/>
      </w:tblGrid>
      <w:tr>
        <w:trPr>
          <w:tblHeader w:val="true"/>
          <w:cantSplit w:val="true"/>
        </w:trPr>
        <w:tc>
          <w:tcPr>
            <w:tcW w:type="dxa" w:w="172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Rol</w:t>
            </w:r>
          </w:p>
        </w:tc>
        <w:tc>
          <w:tcPr>
            <w:tcW w:type="dxa" w:w="25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Integrante</w:t>
            </w:r>
          </w:p>
        </w:tc>
        <w:tc>
          <w:tcPr>
            <w:tcW w:type="dxa" w:w="504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Responsabilidades principales</w:t>
            </w:r>
          </w:p>
        </w:tc>
      </w:tr>
      <w:tr>
        <w:trPr>
          <w:cantSplit w:val="true"/>
        </w:trPr>
        <w:tc>
          <w:tcPr>
            <w:tcW w:type="dxa" w:w="172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Product Owner</w:t>
            </w:r>
          </w:p>
        </w:tc>
        <w:tc>
          <w:tcPr>
            <w:tcW w:type="dxa" w:w="25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Luis David Caicedo Rodríguez</w:t>
            </w:r>
          </w:p>
        </w:tc>
        <w:tc>
          <w:tcPr>
            <w:tcW w:type="dxa" w:w="504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Priorizar actividades y necesidades; revisar y validar avances; definir el alcance del producto; mantener el Product Backlog; verificar que las funcionalidades se relacionen con el problema; mantener la trazabilidad entre problema, requisitos y solución.</w:t>
            </w:r>
          </w:p>
        </w:tc>
      </w:tr>
      <w:tr>
        <w:trPr>
          <w:cantSplit w:val="true"/>
        </w:trPr>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Scrum Master</w:t>
            </w:r>
          </w:p>
        </w:tc>
        <w:tc>
          <w:tcPr>
            <w:tcW w:type="dxa" w:w="25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Edisson David Vargas Castiblanco</w:t>
            </w:r>
          </w:p>
        </w:tc>
        <w:tc>
          <w:tcPr>
            <w:tcW w:type="dxa" w:w="504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Facilitar la organización y el seguimiento del trabajo; identificar dificultades o retrasos; apoyar la planeación de sprints; promover el uso de Trello y de Scrum; facilitar la comunicación; apoyar el seguimiento de los backlogs.</w:t>
            </w:r>
          </w:p>
        </w:tc>
      </w:tr>
      <w:tr>
        <w:trPr>
          <w:cantSplit w:val="true"/>
        </w:trPr>
        <w:tc>
          <w:tcPr>
            <w:tcW w:type="dxa" w:w="172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Team Developer</w:t>
            </w:r>
          </w:p>
        </w:tc>
        <w:tc>
          <w:tcPr>
            <w:tcW w:type="dxa" w:w="25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Javier Santiago Pérez Tobon</w:t>
            </w:r>
          </w:p>
        </w:tc>
        <w:tc>
          <w:tcPr>
            <w:tcW w:type="dxa" w:w="504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Análisis técnico; apoyo a la definición técnica de requisitos; diseño de módulos, arquitectura y base de datos; diagramas UML; construcción del prototipo; programación, integración y pruebas; documentación técnica.</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Fuente: Definición de Roles del Equipo (26/08/2026).</w:t>
      </w:r>
    </w:p>
    <w:p>
      <w:pPr>
        <w:keepNext/>
        <w:widowControl/>
        <w:spacing w:lineRule="auto" w:line="480" w:before="0" w:after="0"/>
        <w:jc w:val="center"/>
      </w:pPr>
      <w:r>
        <w:rPr>
          <w:rFonts w:ascii="Times New Roman" w:hAnsi="Times New Roman" w:cs="Times New Roman" w:eastAsia="Times New Roman"/>
          <w:b/>
          <w:i w:val="0"/>
          <w:sz w:val="24"/>
        </w:rPr>
        <w:t>Trabajo conjunto</w:t>
      </w:r>
    </w:p>
    <w:p>
      <w:pPr>
        <w:keepNext w:val="0"/>
        <w:widowControl/>
        <w:spacing w:lineRule="auto" w:line="480" w:before="0" w:after="0"/>
        <w:ind w:firstLine="720"/>
        <w:jc w:val="left"/>
      </w:pPr>
      <w:r>
        <w:rPr>
          <w:rFonts w:ascii="Times New Roman" w:hAnsi="Times New Roman" w:cs="Times New Roman" w:eastAsia="Times New Roman"/>
          <w:b w:val="0"/>
          <w:i w:val="0"/>
          <w:sz w:val="24"/>
        </w:rPr>
        <w:t>Aunque cada integrante tiene un rol principal, las actividades se desarrollan de forma colaborativa: los tres participan en análisis, investigación, diseño, desarrollo, pruebas y documentación según las necesidades y las tareas asignadas. El rol define la responsabilidad principal, pero no hace que una persona sea la única que puede participar en una actividad.</w:t>
      </w:r>
    </w:p>
    <w:p>
      <w:pPr>
        <w:keepNext/>
        <w:widowControl/>
        <w:spacing w:lineRule="auto" w:line="480" w:before="0" w:after="0"/>
        <w:jc w:val="center"/>
      </w:pPr>
      <w:r>
        <w:rPr>
          <w:rFonts w:ascii="Times New Roman" w:hAnsi="Times New Roman" w:cs="Times New Roman" w:eastAsia="Times New Roman"/>
          <w:b/>
          <w:i w:val="0"/>
          <w:sz w:val="24"/>
        </w:rPr>
        <w:t>Herramientas de seguimiento</w:t>
      </w:r>
    </w:p>
    <w:p>
      <w:pPr>
        <w:keepNext w:val="0"/>
        <w:widowControl/>
        <w:spacing w:lineRule="auto" w:line="480" w:before="0" w:after="0"/>
        <w:ind w:firstLine="720"/>
        <w:jc w:val="left"/>
      </w:pPr>
      <w:r>
        <w:rPr>
          <w:rFonts w:ascii="Times New Roman" w:hAnsi="Times New Roman" w:cs="Times New Roman" w:eastAsia="Times New Roman"/>
          <w:b w:val="0"/>
          <w:i w:val="0"/>
          <w:sz w:val="24"/>
        </w:rPr>
        <w:t>Trello organiza las actividades y el avance. Las tareas y decisiones importantes se registran además en los documentos correspondientes. La documentación completa está en OneDrive y el código y el simulador en el repositorio de GitHub del proyecto. Las herramientas de inteligencia artificial se usan solo como apoyo y no sustituyen las decisiones del equipo.</w:t>
      </w:r>
    </w:p>
    <w:p>
      <w:pPr>
        <w:keepNext/>
        <w:widowControl/>
        <w:spacing w:lineRule="auto" w:line="480" w:before="0" w:after="0"/>
        <w:jc w:val="center"/>
      </w:pPr>
      <w:r>
        <w:rPr>
          <w:rFonts w:ascii="Times New Roman" w:hAnsi="Times New Roman" w:cs="Times New Roman" w:eastAsia="Times New Roman"/>
          <w:b/>
          <w:i w:val="0"/>
          <w:sz w:val="24"/>
        </w:rPr>
        <w:t>Registro de cambios de roles</w:t>
      </w:r>
    </w:p>
    <w:p>
      <w:pPr>
        <w:keepNext w:val="0"/>
        <w:widowControl/>
        <w:spacing w:lineRule="auto" w:line="480" w:before="0" w:after="0"/>
        <w:ind w:firstLine="720"/>
        <w:jc w:val="left"/>
      </w:pPr>
      <w:r>
        <w:rPr>
          <w:rFonts w:ascii="Times New Roman" w:hAnsi="Times New Roman" w:cs="Times New Roman" w:eastAsia="Times New Roman"/>
          <w:b w:val="0"/>
          <w:i w:val="0"/>
          <w:sz w:val="24"/>
        </w:rPr>
        <w:t>Si el equipo o el docente acuerdan reasignar tareas o roles, el cambio se registra en esta tabla con su fecha, el motivo acordado y quién lo aprobó, y se sincronizan el Acta de Inicio, la EDT y Trello.</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Registro de cambios de roles</w:t>
      </w:r>
    </w:p>
    <w:tbl>
      <w:tblPr>
        <w:jc w:val="center"/>
        <w:tblLayout w:type="fixed"/>
        <w:tblLook w:firstColumn="1" w:firstRow="1" w:lastColumn="0" w:lastRow="0" w:noHBand="0" w:noVBand="1" w:val="04A0"/>
        <w:tblLayout w:type="fixed"/>
        <w:tblW w:w="9360" w:type="dxa"/>
      </w:tblPr>
      <w:tblGrid>
        <w:gridCol w:w="1728"/>
        <w:gridCol w:w="5760"/>
        <w:gridCol w:w="1872"/>
      </w:tblGrid>
      <w:tr>
        <w:trPr>
          <w:tblHeader w:val="true"/>
          <w:cantSplit w:val="true"/>
        </w:trPr>
        <w:tc>
          <w:tcPr>
            <w:tcW w:type="dxa" w:w="172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Fecha</w:t>
            </w:r>
          </w:p>
        </w:tc>
        <w:tc>
          <w:tcPr>
            <w:tcW w:type="dxa" w:w="576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Cambio acordado</w:t>
            </w:r>
          </w:p>
        </w:tc>
        <w:tc>
          <w:tcPr>
            <w:tcW w:type="dxa" w:w="187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Aprobado por</w:t>
            </w:r>
          </w:p>
        </w:tc>
      </w:tr>
      <w:tr>
        <w:trPr>
          <w:cantSplit w:val="true"/>
        </w:trPr>
        <w:tc>
          <w:tcPr>
            <w:tcW w:type="dxa" w:w="172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26/08/2026</w:t>
            </w:r>
          </w:p>
        </w:tc>
        <w:tc>
          <w:tcPr>
            <w:tcW w:type="dxa" w:w="576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Asignación inicial de roles.</w:t>
            </w:r>
          </w:p>
        </w:tc>
        <w:tc>
          <w:tcPr>
            <w:tcW w:type="dxa" w:w="187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Equipo</w:t>
            </w:r>
          </w:p>
        </w:tc>
      </w:tr>
      <w:tr>
        <w:trPr>
          <w:cantSplit w:val="true"/>
        </w:trPr>
        <w:tc>
          <w:tcPr>
            <w:tcW w:type="dxa" w:w="1728"/>
            <w:tcBorders>
              <w:top w:val="nil"/>
              <w:left w:val="nil"/>
              <w:bottom w:val="single" w:sz="8" w:color="000000" w:space="0"/>
              <w:right w:val="nil"/>
            </w:tcBorders>
          </w:tcPr>
          <w:p>
            <w:pPr>
              <w:keepNext w:val="0"/>
              <w:widowControl/>
              <w:spacing w:lineRule="auto" w:line="240" w:before="40" w:after="40"/>
              <w:jc w:val="left"/>
            </w:pPr>
          </w:p>
        </w:tc>
        <w:tc>
          <w:tcPr>
            <w:tcW w:type="dxa" w:w="5760"/>
            <w:tcBorders>
              <w:top w:val="nil"/>
              <w:left w:val="nil"/>
              <w:bottom w:val="single" w:sz="8" w:color="000000" w:space="0"/>
              <w:right w:val="nil"/>
            </w:tcBorders>
          </w:tcPr>
          <w:p>
            <w:pPr>
              <w:keepNext w:val="0"/>
              <w:widowControl/>
              <w:spacing w:lineRule="auto" w:line="240" w:before="40" w:after="40"/>
              <w:jc w:val="left"/>
            </w:pPr>
          </w:p>
        </w:tc>
        <w:tc>
          <w:tcPr>
            <w:tcW w:type="dxa" w:w="1872"/>
            <w:tcBorders>
              <w:top w:val="nil"/>
              <w:left w:val="nil"/>
              <w:bottom w:val="single" w:sz="8" w:color="000000" w:space="0"/>
              <w:right w:val="nil"/>
            </w:tcBorders>
          </w:tcPr>
          <w:p>
            <w:pPr>
              <w:keepNext w:val="0"/>
              <w:widowControl/>
              <w:spacing w:lineRule="auto" w:line="240" w:before="40" w:after="40"/>
              <w:jc w:val="left"/>
            </w:pPr>
          </w:p>
        </w:tc>
      </w:tr>
    </w:tbl>
    <w:p>
      <w:pPr>
        <w:keepNext w:val="0"/>
        <w:widowControl/>
        <w:spacing w:lineRule="auto" w:line="240" w:before="0" w:after="120"/>
      </w:pPr>
    </w:p>
    <w:p>
      <w:pPr>
        <w:keepNext/>
        <w:widowControl/>
        <w:spacing w:lineRule="auto" w:line="480" w:before="0" w:after="0"/>
        <w:jc w:val="center"/>
      </w:pPr>
      <w:r>
        <w:rPr>
          <w:rFonts w:ascii="Times New Roman" w:hAnsi="Times New Roman" w:cs="Times New Roman" w:eastAsia="Times New Roman"/>
          <w:b/>
          <w:i w:val="0"/>
          <w:sz w:val="24"/>
        </w:rPr>
        <w:t>Estado</w:t>
      </w:r>
    </w:p>
    <w:p>
      <w:pPr>
        <w:keepNext w:val="0"/>
        <w:widowControl/>
        <w:spacing w:lineRule="auto" w:line="480" w:before="0" w:after="0"/>
        <w:ind w:firstLine="720"/>
        <w:jc w:val="left"/>
      </w:pPr>
      <w:r>
        <w:rPr>
          <w:rFonts w:ascii="Times New Roman" w:hAnsi="Times New Roman" w:cs="Times New Roman" w:eastAsia="Times New Roman"/>
          <w:b w:val="0"/>
          <w:i w:val="0"/>
          <w:sz w:val="24"/>
        </w:rPr>
        <w:t>Roles asignados y definidos. Pendiente la revisión del docente.</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Escuela Tecnológica Instituto Técnico Central. (2026). </w:t>
      </w:r>
      <w:r>
        <w:rPr>
          <w:rFonts w:ascii="Times New Roman" w:hAnsi="Times New Roman" w:cs="Times New Roman" w:eastAsia="Times New Roman"/>
          <w:b w:val="0"/>
          <w:i/>
          <w:sz w:val="24"/>
        </w:rPr>
        <w:t>Syllabus/Microcurrículo: Diseño de Software I</w:t>
      </w:r>
      <w:r>
        <w:rPr>
          <w:rFonts w:ascii="Times New Roman" w:hAnsi="Times New Roman" w:cs="Times New Roman" w:eastAsia="Times New Roman"/>
          <w:b w:val="0"/>
          <w:i w:val="0"/>
          <w:sz w:val="24"/>
        </w:rPr>
        <w:t xml:space="preserve"> (Código 5-0613-2018; DES-FO-05, versión 5) [Documento institucional].</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Roles del Equipo</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