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Definición de las Categorías VIS, VIP y No VIP</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Definición de las Categorías VIS, VIP y No VIP</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P.H., su administración, el personal de vigilancia, los residentes y todas las cifras que aparecen en este documento son ficticios. Fueron construidos por el equipo con fines académicos, tomando como referencia la literatura sobre control de acceso vehicular y la Ley 675 de 2001. No existe un cliente real ni se realizaron entrevistas, encuestas ni observaciones con terceros. Toda afirmación sobre «el cliente» es una hipótesis de trabajo del caso ilustrativo. Para redactar y organizar este documento el equipo usó Claude (Anthropic) como herramienta de apoyo; las decisiones y la revisión final corresponden al equipo y al docente.</w:t>
      </w:r>
    </w:p>
    <w:p>
      <w:pPr>
        <w:keepNext/>
        <w:widowControl/>
        <w:spacing w:lineRule="auto" w:line="480" w:before="0" w:after="0"/>
        <w:jc w:val="center"/>
      </w:pPr>
      <w:r>
        <w:rPr>
          <w:rFonts w:ascii="Times New Roman" w:hAnsi="Times New Roman" w:cs="Times New Roman" w:eastAsia="Times New Roman"/>
          <w:b/>
          <w:i w:val="0"/>
          <w:sz w:val="24"/>
        </w:rPr>
        <w:t>Introducción</w:t>
      </w:r>
    </w:p>
    <w:p>
      <w:pPr>
        <w:keepNext w:val="0"/>
        <w:widowControl/>
        <w:spacing w:lineRule="auto" w:line="480" w:before="0" w:after="0"/>
        <w:ind w:firstLine="720"/>
        <w:jc w:val="left"/>
      </w:pPr>
      <w:r>
        <w:rPr>
          <w:rFonts w:ascii="Times New Roman" w:hAnsi="Times New Roman" w:cs="Times New Roman" w:eastAsia="Times New Roman"/>
          <w:b w:val="0"/>
          <w:i w:val="0"/>
          <w:sz w:val="24"/>
        </w:rPr>
        <w:t>Las siglas VIS, VIP y No VIP pueden tener más de un significado en el contexto colombiano. Antes de usarlas como categorías del sistema, el equipo contrastó dos interpretaciones y adoptó una de ellas como definición de trabajo. Este documento registra esa decisión, sus límites y lo que sigue sin definir. Como el cliente es ficticio, la definición no fue validada con ninguna administración real: es una decisión del equipo pendiente de revisión del docente.</w:t>
      </w:r>
    </w:p>
    <w:p>
      <w:pPr>
        <w:keepNext/>
        <w:widowControl/>
        <w:spacing w:lineRule="auto" w:line="480" w:before="0" w:after="0"/>
        <w:jc w:val="center"/>
      </w:pPr>
      <w:r>
        <w:rPr>
          <w:rFonts w:ascii="Times New Roman" w:hAnsi="Times New Roman" w:cs="Times New Roman" w:eastAsia="Times New Roman"/>
          <w:b/>
          <w:i w:val="0"/>
          <w:sz w:val="24"/>
        </w:rPr>
        <w:t>Dos interpretaciones posibles</w:t>
      </w:r>
    </w:p>
    <w:p>
      <w:pPr>
        <w:keepNext/>
        <w:widowControl/>
        <w:spacing w:lineRule="auto" w:line="480" w:before="0" w:after="0"/>
        <w:jc w:val="left"/>
      </w:pPr>
      <w:r>
        <w:rPr>
          <w:rFonts w:ascii="Times New Roman" w:hAnsi="Times New Roman" w:cs="Times New Roman" w:eastAsia="Times New Roman"/>
          <w:b/>
          <w:i w:val="0"/>
          <w:sz w:val="24"/>
        </w:rPr>
        <w:t>Interpretación urbanística y legal</w:t>
      </w:r>
    </w:p>
    <w:p>
      <w:pPr>
        <w:keepNext w:val="0"/>
        <w:widowControl/>
        <w:spacing w:lineRule="auto" w:line="480" w:before="0" w:after="0"/>
        <w:ind w:firstLine="720"/>
        <w:jc w:val="left"/>
      </w:pPr>
      <w:r>
        <w:rPr>
          <w:rFonts w:ascii="Times New Roman" w:hAnsi="Times New Roman" w:cs="Times New Roman" w:eastAsia="Times New Roman"/>
          <w:b w:val="0"/>
          <w:i w:val="0"/>
          <w:sz w:val="24"/>
        </w:rPr>
        <w:t>En la normativa de vivienda, VIS significa Vivienda de Interés Social y VIP, Vivienda de Interés Prioritario (Congreso de Colombia, 1997; Presidencia de la República de Colombia, 2015). Bajo esta lectura, las siglas describen un tipo de vivienda, no a un usuario ni a un vehículo.</w:t>
      </w:r>
    </w:p>
    <w:p>
      <w:pPr>
        <w:keepNext/>
        <w:widowControl/>
        <w:spacing w:lineRule="auto" w:line="480" w:before="0" w:after="0"/>
        <w:jc w:val="left"/>
      </w:pPr>
      <w:r>
        <w:rPr>
          <w:rFonts w:ascii="Times New Roman" w:hAnsi="Times New Roman" w:cs="Times New Roman" w:eastAsia="Times New Roman"/>
          <w:b/>
          <w:i w:val="0"/>
          <w:sz w:val="24"/>
        </w:rPr>
        <w:t>Interpretación operativa</w:t>
      </w:r>
    </w:p>
    <w:p>
      <w:pPr>
        <w:keepNext w:val="0"/>
        <w:widowControl/>
        <w:spacing w:lineRule="auto" w:line="480" w:before="0" w:after="0"/>
        <w:ind w:firstLine="720"/>
        <w:jc w:val="left"/>
      </w:pPr>
      <w:r>
        <w:rPr>
          <w:rFonts w:ascii="Times New Roman" w:hAnsi="Times New Roman" w:cs="Times New Roman" w:eastAsia="Times New Roman"/>
          <w:b w:val="0"/>
          <w:i w:val="0"/>
          <w:sz w:val="24"/>
        </w:rPr>
        <w:t>En el control de acceso, las siglas pueden usarse para clasificar a los usuarios o vehículos que utilizan el parqueadero y diferenciar el tratamiento que reciben en el ingreso y la salida.</w:t>
      </w:r>
    </w:p>
    <w:p>
      <w:pPr>
        <w:keepNext/>
        <w:widowControl/>
        <w:spacing w:lineRule="auto" w:line="480" w:before="0" w:after="0"/>
        <w:jc w:val="center"/>
      </w:pPr>
      <w:r>
        <w:rPr>
          <w:rFonts w:ascii="Times New Roman" w:hAnsi="Times New Roman" w:cs="Times New Roman" w:eastAsia="Times New Roman"/>
          <w:b/>
          <w:i w:val="0"/>
          <w:sz w:val="24"/>
        </w:rPr>
        <w:t>Decisión del equipo</w:t>
      </w:r>
    </w:p>
    <w:p>
      <w:pPr>
        <w:keepNext w:val="0"/>
        <w:widowControl/>
        <w:spacing w:lineRule="auto" w:line="480" w:before="0" w:after="0"/>
        <w:ind w:firstLine="720"/>
        <w:jc w:val="left"/>
      </w:pPr>
      <w:r>
        <w:rPr>
          <w:rFonts w:ascii="Times New Roman" w:hAnsi="Times New Roman" w:cs="Times New Roman" w:eastAsia="Times New Roman"/>
          <w:b w:val="0"/>
          <w:i w:val="0"/>
          <w:sz w:val="24"/>
        </w:rPr>
        <w:t xml:space="preserve">El caso ilustrativo no describe al conjunto como vivienda de interés social o prioritario, sino como un conjunto residencial convencional cuyo problema es el control de los parqueaderos (ver </w:t>
      </w:r>
      <w:r>
        <w:rPr>
          <w:rFonts w:ascii="Times New Roman" w:hAnsi="Times New Roman" w:cs="Times New Roman" w:eastAsia="Times New Roman"/>
          <w:b w:val="0"/>
          <w:i/>
          <w:sz w:val="24"/>
        </w:rPr>
        <w:t>Caso del Cliente</w:t>
      </w:r>
      <w:r>
        <w:rPr>
          <w:rFonts w:ascii="Times New Roman" w:hAnsi="Times New Roman" w:cs="Times New Roman" w:eastAsia="Times New Roman"/>
          <w:b w:val="0"/>
          <w:i w:val="0"/>
          <w:sz w:val="24"/>
        </w:rPr>
        <w:t xml:space="preserve">). Por eso el equipo descarta la interpretación urbanística para C.I.S.P.P.H. y adopta la operativa como </w:t>
      </w:r>
      <w:r>
        <w:rPr>
          <w:rFonts w:ascii="Times New Roman" w:hAnsi="Times New Roman" w:cs="Times New Roman" w:eastAsia="Times New Roman"/>
          <w:b/>
          <w:i w:val="0"/>
          <w:sz w:val="24"/>
        </w:rPr>
        <w:t>definición de trabajo</w:t>
      </w:r>
      <w:r>
        <w:rPr>
          <w:rFonts w:ascii="Times New Roman" w:hAnsi="Times New Roman" w:cs="Times New Roman" w:eastAsia="Times New Roman"/>
          <w:b w:val="0"/>
          <w:i w:val="0"/>
          <w:sz w:val="24"/>
        </w:rPr>
        <w:t>.</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Categorías operativas de C.I.S.P.P.H. (definición de trabajo)</w:t>
      </w:r>
    </w:p>
    <w:tbl>
      <w:tblPr>
        <w:jc w:val="center"/>
        <w:tblLayout w:type="fixed"/>
        <w:tblLook w:firstColumn="1" w:firstRow="1" w:lastColumn="0" w:lastRow="0" w:noHBand="0" w:noVBand="1" w:val="04A0"/>
        <w:tblLayout w:type="fixed"/>
        <w:tblW w:w="9360" w:type="dxa"/>
      </w:tblPr>
      <w:tblGrid>
        <w:gridCol w:w="1296"/>
        <w:gridCol w:w="2448"/>
        <w:gridCol w:w="3744"/>
        <w:gridCol w:w="1872"/>
      </w:tblGrid>
      <w:tr>
        <w:trPr>
          <w:tblHeader w:val="true"/>
          <w:cantSplit w:val="true"/>
        </w:trPr>
        <w:tc>
          <w:tcPr>
            <w:tcW w:type="dxa" w:w="129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Categoría</w:t>
            </w:r>
          </w:p>
        </w:tc>
        <w:tc>
          <w:tcPr>
            <w:tcW w:type="dxa" w:w="244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Significado</w:t>
            </w:r>
          </w:p>
        </w:tc>
        <w:tc>
          <w:tcPr>
            <w:tcW w:type="dxa" w:w="374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Quién pertenece</w:t>
            </w:r>
          </w:p>
        </w:tc>
        <w:tc>
          <w:tcPr>
            <w:tcW w:type="dxa" w:w="187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Parqueadero</w:t>
            </w:r>
          </w:p>
        </w:tc>
      </w:tr>
      <w:tr>
        <w:trPr>
          <w:cantSplit w:val="true"/>
        </w:trPr>
        <w:tc>
          <w:tcPr>
            <w:tcW w:type="dxa" w:w="129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No VIP</w:t>
            </w:r>
          </w:p>
        </w:tc>
        <w:tc>
          <w:tcPr>
            <w:tcW w:type="dxa" w:w="244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Usuario o vehículo regular del conjunto</w:t>
            </w:r>
          </w:p>
        </w:tc>
        <w:tc>
          <w:tcPr>
            <w:tcW w:type="dxa" w:w="374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Propietarios y arrendatarios vigentes con parqueadero privado asignado</w:t>
            </w:r>
          </w:p>
        </w:tc>
        <w:tc>
          <w:tcPr>
            <w:tcW w:type="dxa" w:w="187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Privado (210 en el caso)</w:t>
            </w:r>
          </w:p>
        </w:tc>
      </w:tr>
      <w:tr>
        <w:trPr>
          <w:cantSplit w:val="true"/>
        </w:trPr>
        <w:tc>
          <w:tcPr>
            <w:tcW w:type="dxa" w:w="129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VIS</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Visitante</w:t>
            </w:r>
          </w:p>
        </w:tc>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Cualquier persona que ingresa temporalmente, sin subcategorías</w:t>
            </w:r>
          </w:p>
        </w:tc>
        <w:tc>
          <w:tcPr>
            <w:tcW w:type="dxa" w:w="187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Cupos comunes de visitantes (15 en el caso)</w:t>
            </w:r>
          </w:p>
        </w:tc>
      </w:tr>
      <w:tr>
        <w:trPr>
          <w:cantSplit w:val="true"/>
        </w:trPr>
        <w:tc>
          <w:tcPr>
            <w:tcW w:type="dxa" w:w="129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VIP</w:t>
            </w:r>
          </w:p>
        </w:tc>
        <w:tc>
          <w:tcPr>
            <w:tcW w:type="dxa" w:w="244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Usuario o vehículo con trato diferenciado por su rol en un momento dado</w:t>
            </w:r>
          </w:p>
        </w:tc>
        <w:tc>
          <w:tcPr>
            <w:tcW w:type="dxa" w:w="374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Miembros del Consejo de Administración en ejercicio de sus funciones, la administración y proveedores o atención de emergencia autorizados expresamente</w:t>
            </w:r>
          </w:p>
        </w:tc>
        <w:tc>
          <w:tcPr>
            <w:tcW w:type="dxa" w:w="187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Sin parqueadero reservado</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VIP no implica tarifa, prioridad de paso ni cupo reservado.</w:t>
      </w:r>
    </w:p>
    <w:p>
      <w:pPr>
        <w:keepNext w:val="0"/>
        <w:widowControl/>
        <w:spacing w:lineRule="auto" w:line="480" w:before="0" w:after="0"/>
        <w:ind w:firstLine="720"/>
        <w:jc w:val="left"/>
      </w:pPr>
      <w:r>
        <w:rPr>
          <w:rFonts w:ascii="Times New Roman" w:hAnsi="Times New Roman" w:cs="Times New Roman" w:eastAsia="Times New Roman"/>
          <w:b w:val="0"/>
          <w:i w:val="0"/>
          <w:sz w:val="24"/>
        </w:rPr>
        <w:t>En coherencia con la Ley 675 de 2001, los parqueaderos de visitantes son bienes comunes de uso general y no pueden asignarse de forma exclusiva a un apartamento (Congreso de Colombia, 2001, art. 22). Por eso ninguna categoría concede un cupo de visitantes permanente.</w:t>
      </w:r>
    </w:p>
    <w:p>
      <w:pPr>
        <w:keepNext/>
        <w:widowControl/>
        <w:spacing w:lineRule="auto" w:line="480" w:before="0" w:after="0"/>
        <w:jc w:val="center"/>
      </w:pPr>
      <w:r>
        <w:rPr>
          <w:rFonts w:ascii="Times New Roman" w:hAnsi="Times New Roman" w:cs="Times New Roman" w:eastAsia="Times New Roman"/>
          <w:b/>
          <w:i w:val="0"/>
          <w:sz w:val="24"/>
        </w:rPr>
        <w:t>Usos de las categorías</w:t>
      </w:r>
    </w:p>
    <w:p>
      <w:pPr>
        <w:keepNext w:val="0"/>
        <w:widowControl/>
        <w:spacing w:lineRule="auto" w:line="480" w:before="0" w:after="0"/>
        <w:ind w:firstLine="720"/>
        <w:jc w:val="left"/>
      </w:pPr>
      <w:r>
        <w:rPr>
          <w:rFonts w:ascii="Times New Roman" w:hAnsi="Times New Roman" w:cs="Times New Roman" w:eastAsia="Times New Roman"/>
          <w:b w:val="0"/>
          <w:i w:val="0"/>
          <w:sz w:val="24"/>
        </w:rPr>
        <w:t>Las categorías se usan como atributo del vehículo o del usuario en el modelo de datos, en el formulario de registro, en la inspección del guarda y en el historial del simulador. En el simulador, la categoría VIP se asigna con un campo «Motivo VIP» obligatorio, para que quede constancia de por qué un registro recibe ese trato.</w:t>
      </w:r>
    </w:p>
    <w:p>
      <w:pPr>
        <w:keepNext/>
        <w:widowControl/>
        <w:spacing w:lineRule="auto" w:line="480" w:before="0" w:after="0"/>
        <w:jc w:val="center"/>
      </w:pPr>
      <w:r>
        <w:rPr>
          <w:rFonts w:ascii="Times New Roman" w:hAnsi="Times New Roman" w:cs="Times New Roman" w:eastAsia="Times New Roman"/>
          <w:b/>
          <w:i w:val="0"/>
          <w:sz w:val="24"/>
        </w:rPr>
        <w:t>Aspectos sin definir</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Si VIP implica alguna prioridad de paso en la barrera o un registro distinto.</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La lista oficial de personas y situaciones que califican como VIP, que sería decisión del órgano de administración de un conjunto real.</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Cualquier tarifa, tiempo de gracia o condición de cobro diferenciada: no se define y no se simula como regla del proyecto.</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La ratificación de esta definición por el docente.</w:t>
      </w:r>
    </w:p>
    <w:p>
      <w:pPr>
        <w:keepNext/>
        <w:widowControl/>
        <w:spacing w:lineRule="auto" w:line="480" w:before="0" w:after="0"/>
        <w:jc w:val="center"/>
      </w:pPr>
      <w:r>
        <w:rPr>
          <w:rFonts w:ascii="Times New Roman" w:hAnsi="Times New Roman" w:cs="Times New Roman" w:eastAsia="Times New Roman"/>
          <w:b/>
          <w:i w:val="0"/>
          <w:sz w:val="24"/>
        </w:rPr>
        <w:t>Registro final</w:t>
      </w:r>
    </w:p>
    <w:p>
      <w:pPr>
        <w:keepNext w:val="0"/>
        <w:widowControl/>
        <w:spacing w:lineRule="auto" w:line="480" w:before="0" w:after="0"/>
        <w:ind w:firstLine="720"/>
        <w:jc w:val="left"/>
      </w:pPr>
      <w:r>
        <w:rPr>
          <w:rFonts w:ascii="Times New Roman" w:hAnsi="Times New Roman" w:cs="Times New Roman" w:eastAsia="Times New Roman"/>
          <w:b w:val="0"/>
          <w:i w:val="0"/>
          <w:sz w:val="24"/>
        </w:rPr>
        <w:t>C.I.S.P.P.H. adopta, como definición de trabajo, tres categorías operativas: No VIP (usuario regular con parqueadero privado), VIS (visitante) y VIP (usuario con trato diferenciado por rol, sin tarifa ni cupo reservado). Estado: pendiente de revisión del docente.</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(1997, 18 de julio). </w:t>
      </w:r>
      <w:r>
        <w:rPr>
          <w:rFonts w:ascii="Times New Roman" w:hAnsi="Times New Roman" w:cs="Times New Roman" w:eastAsia="Times New Roman"/>
          <w:b w:val="0"/>
          <w:i/>
          <w:sz w:val="24"/>
        </w:rPr>
        <w:t>Ley 388 de 1997: Por la cual se modifica la Ley 9.ª de 1989 y la Ley 3.ª de 1991 y se dictan otras disposiciones</w:t>
      </w:r>
      <w:r>
        <w:rPr>
          <w:rFonts w:ascii="Times New Roman" w:hAnsi="Times New Roman" w:cs="Times New Roman" w:eastAsia="Times New Roman"/>
          <w:b w:val="0"/>
          <w:i w:val="0"/>
          <w:sz w:val="24"/>
        </w:rPr>
        <w:t>.</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(2001, 3 de agosto). </w:t>
      </w:r>
      <w:r>
        <w:rPr>
          <w:rFonts w:ascii="Times New Roman" w:hAnsi="Times New Roman" w:cs="Times New Roman" w:eastAsia="Times New Roman"/>
          <w:b w:val="0"/>
          <w:i/>
          <w:sz w:val="24"/>
        </w:rPr>
        <w:t>Ley 675 de 2001: Por medio de la cual se expide el régimen de propiedad horizontal</w:t>
      </w:r>
      <w:r>
        <w:rPr>
          <w:rFonts w:ascii="Times New Roman" w:hAnsi="Times New Roman" w:cs="Times New Roman" w:eastAsia="Times New Roman"/>
          <w:b w:val="0"/>
          <w:i w:val="0"/>
          <w:sz w:val="24"/>
        </w:rPr>
        <w:t>. Diario Oficial n.º 44.509. https://normas.cra.gov.co/gestor/docs/ley_0675_2001.htm</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Presidencia de la República de Colombia. (2015, 26 de mayo). </w:t>
      </w:r>
      <w:r>
        <w:rPr>
          <w:rFonts w:ascii="Times New Roman" w:hAnsi="Times New Roman" w:cs="Times New Roman" w:eastAsia="Times New Roman"/>
          <w:b w:val="0"/>
          <w:i/>
          <w:sz w:val="24"/>
        </w:rPr>
        <w:t>Decreto 1077 de 2015: Por medio del cual se expide el Decreto Único Reglamentario del Sector Vivienda, Ciudad y Territorio</w:t>
      </w:r>
      <w:r>
        <w:rPr>
          <w:rFonts w:ascii="Times New Roman" w:hAnsi="Times New Roman" w:cs="Times New Roman" w:eastAsia="Times New Roman"/>
          <w:b w:val="0"/>
          <w:i w:val="0"/>
          <w:sz w:val="24"/>
        </w:rP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 las Categorías VIS, VIP y No VIP</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