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Investigación Normativa y Legal del Proyecto C.I.S.P.P.H.</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Investigación Normativa y Legal del Proyecto C.I.S.P.P.H.</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Conjunto Residencial Robles del Norte P.H., su administración, el personal de vigilancia, los residentes y todas las cifras que aparecen en este documento son ficticios. Fueron construidos por el equipo con fines académicos, tomando como referencia la literatura sobre control de acceso vehicular y la Ley 675 de 2001. No existe un cliente real ni se realizaron entrevistas, encuestas ni observaciones con terceros. Toda afirmación sobre «el cliente» es una hipótesis de trabajo del caso ilustrativo. Para redactar y organizar este documento el equipo usó Claude (Anthropic) como herramienta de apoyo; las decisiones y la revisión final corresponden al equipo y al docente.</w:t>
      </w:r>
    </w:p>
    <w:p>
      <w:pPr>
        <w:keepNext/>
        <w:widowControl/>
        <w:spacing w:lineRule="auto" w:line="480" w:before="0" w:after="0"/>
        <w:jc w:val="center"/>
      </w:pPr>
      <w:r>
        <w:rPr>
          <w:rFonts w:ascii="Times New Roman" w:hAnsi="Times New Roman" w:cs="Times New Roman" w:eastAsia="Times New Roman"/>
          <w:b/>
          <w:i w:val="0"/>
          <w:sz w:val="24"/>
        </w:rPr>
        <w:t>Introducción</w:t>
      </w:r>
    </w:p>
    <w:p>
      <w:pPr>
        <w:keepNext w:val="0"/>
        <w:widowControl/>
        <w:spacing w:lineRule="auto" w:line="480" w:before="0" w:after="0"/>
        <w:ind w:firstLine="720"/>
        <w:jc w:val="left"/>
      </w:pPr>
      <w:r>
        <w:rPr>
          <w:rFonts w:ascii="Times New Roman" w:hAnsi="Times New Roman" w:cs="Times New Roman" w:eastAsia="Times New Roman"/>
          <w:b w:val="0"/>
          <w:i w:val="0"/>
          <w:sz w:val="24"/>
        </w:rPr>
        <w:t>Esta investigación identifica normas colombianas que pueden afectar el diseño de un sistema de control de ingreso y salida de vehículos en propiedad horizontal. Su objetivo no es convertir cada norma en una funcionalidad, sino entender qué obligaciones y restricciones habría que considerar si el sistema se usara en un conjunto real. Es una investigación académica preliminar y no constituye asesoría jurídica; cualquier uso real requeriría revisión de un profesional del derecho.</w:t>
      </w:r>
    </w:p>
    <w:p>
      <w:pPr>
        <w:keepNext/>
        <w:widowControl/>
        <w:spacing w:lineRule="auto" w:line="480" w:before="0" w:after="0"/>
        <w:jc w:val="center"/>
      </w:pPr>
      <w:r>
        <w:rPr>
          <w:rFonts w:ascii="Times New Roman" w:hAnsi="Times New Roman" w:cs="Times New Roman" w:eastAsia="Times New Roman"/>
          <w:b/>
          <w:i w:val="0"/>
          <w:sz w:val="24"/>
        </w:rPr>
        <w:t>Normas revisadas</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Marco normativo preliminar</w:t>
      </w:r>
    </w:p>
    <w:tbl>
      <w:tblPr>
        <w:jc w:val="center"/>
        <w:tblLayout w:type="fixed"/>
        <w:tblLook w:firstColumn="1" w:firstRow="1" w:lastColumn="0" w:lastRow="0" w:noHBand="0" w:noVBand="1" w:val="04A0"/>
        <w:tblLayout w:type="fixed"/>
        <w:tblW w:w="9360" w:type="dxa"/>
      </w:tblPr>
      <w:tblGrid>
        <w:gridCol w:w="2160"/>
        <w:gridCol w:w="2448"/>
        <w:gridCol w:w="4752"/>
      </w:tblGrid>
      <w:tr>
        <w:trPr>
          <w:tblHeader w:val="true"/>
          <w:cantSplit w:val="true"/>
        </w:trPr>
        <w:tc>
          <w:tcPr>
            <w:tcW w:type="dxa" w:w="216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Norma</w:t>
            </w:r>
          </w:p>
        </w:tc>
        <w:tc>
          <w:tcPr>
            <w:tcW w:type="dxa" w:w="244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Objeto</w:t>
            </w:r>
          </w:p>
        </w:tc>
        <w:tc>
          <w:tcPr>
            <w:tcW w:type="dxa" w:w="475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Relación con C.I.S.P.P.H.</w:t>
            </w:r>
          </w:p>
        </w:tc>
      </w:tr>
      <w:tr>
        <w:trPr>
          <w:cantSplit w:val="true"/>
        </w:trPr>
        <w:tc>
          <w:tcPr>
            <w:tcW w:type="dxa" w:w="216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Ley 675 de 2001</w:t>
            </w:r>
          </w:p>
        </w:tc>
        <w:tc>
          <w:tcPr>
            <w:tcW w:type="dxa" w:w="244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Régimen de propiedad horizontal</w:t>
            </w:r>
          </w:p>
        </w:tc>
        <w:tc>
          <w:tcPr>
            <w:tcW w:type="dxa" w:w="475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Los parqueaderos de visitantes son bienes comunes de uso general y no se asignan de forma exclusiva; los privados pueden asignarse a los propietarios (art. 22). El sistema no debe tratar los cupos de visitantes como reservables por un apartamento.</w:t>
            </w:r>
          </w:p>
        </w:tc>
      </w:tr>
      <w:tr>
        <w:trPr>
          <w:cantSplit w:val="true"/>
        </w:trPr>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Ley 769 de 2002</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Código Nacional de Tránsito Terrestre</w:t>
            </w:r>
          </w:p>
        </w:tc>
        <w:tc>
          <w:tcPr>
            <w:tcW w:type="dxa" w:w="47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Marco de la identificación de vehículos por placa, que es el dato principal del vehículo en el sistema. No impone por sí misma el formato de validación.</w:t>
            </w:r>
          </w:p>
        </w:tc>
      </w:tr>
      <w:tr>
        <w:trPr>
          <w:cantSplit w:val="true"/>
        </w:trPr>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Ley 1581 de 2012 y Decreto 1377 de 2013</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Protección de datos personales y su reglamentación parcial</w:t>
            </w:r>
          </w:p>
        </w:tc>
        <w:tc>
          <w:tcPr>
            <w:tcW w:type="dxa" w:w="47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Nombre del conductor, apartamento y placa asociada a una persona son datos personales. Exigen autorización, finalidad informada, minimización y definir quién consulta los registros y por cuánto tiempo se conservan.</w:t>
            </w:r>
          </w:p>
        </w:tc>
      </w:tr>
      <w:tr>
        <w:trPr>
          <w:cantSplit w:val="true"/>
        </w:trPr>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Ley 527 de 1999</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Mensajes de datos y comercio electrónico</w:t>
            </w:r>
          </w:p>
        </w:tc>
        <w:tc>
          <w:tcPr>
            <w:tcW w:type="dxa" w:w="47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Soporte para el valor de los registros electrónicos que sustituyen al talonario de papel; la forma de garantizar su integridad es una decisión de diseño.</w:t>
            </w:r>
          </w:p>
        </w:tc>
      </w:tr>
      <w:tr>
        <w:trPr>
          <w:cantSplit w:val="true"/>
        </w:trPr>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Decisión 351 de 1993 (Comunidad Andina)</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Derecho de autor y derechos conexos</w:t>
            </w:r>
          </w:p>
        </w:tc>
        <w:tc>
          <w:tcPr>
            <w:tcW w:type="dxa" w:w="47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Protege el software que desarrolle el equipo en los términos de una obra literaria; obliga a revisar la licencia de cada componente o librería externa.</w:t>
            </w:r>
          </w:p>
        </w:tc>
      </w:tr>
      <w:tr>
        <w:trPr>
          <w:cantSplit w:val="true"/>
        </w:trPr>
        <w:tc>
          <w:tcPr>
            <w:tcW w:type="dxa" w:w="216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Videovigilancia y tratamiento de imágenes</w:t>
            </w:r>
          </w:p>
        </w:tc>
        <w:tc>
          <w:tcPr>
            <w:tcW w:type="dxa" w:w="244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Orientaciones de la autoridad de protección de datos</w:t>
            </w:r>
          </w:p>
        </w:tc>
        <w:tc>
          <w:tcPr>
            <w:tcW w:type="dxa" w:w="475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Aplica si el sistema integra cámaras o lectura de placas con imágenes. El equipo no cita aquí un documento oficial porque aún no lo ha consultado; queda pendiente.</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La Ley 675 fue verificada en el texto oficial; las demás normas se citan a nivel de objeto y no se transcriben artículos.</w:t>
      </w:r>
    </w:p>
    <w:p>
      <w:pPr>
        <w:keepNext/>
        <w:widowControl/>
        <w:spacing w:lineRule="auto" w:line="480" w:before="0" w:after="0"/>
        <w:jc w:val="center"/>
      </w:pPr>
      <w:r>
        <w:rPr>
          <w:rFonts w:ascii="Times New Roman" w:hAnsi="Times New Roman" w:cs="Times New Roman" w:eastAsia="Times New Roman"/>
          <w:b/>
          <w:i w:val="0"/>
          <w:sz w:val="24"/>
        </w:rPr>
        <w:t>Implicaciones para el diseño</w:t>
      </w:r>
    </w:p>
    <w:p>
      <w:pPr>
        <w:keepNext/>
        <w:widowControl/>
        <w:spacing w:lineRule="auto" w:line="480" w:before="0" w:after="0"/>
        <w:jc w:val="left"/>
      </w:pPr>
      <w:r>
        <w:rPr>
          <w:rFonts w:ascii="Times New Roman" w:hAnsi="Times New Roman" w:cs="Times New Roman" w:eastAsia="Times New Roman"/>
          <w:b/>
          <w:i w:val="0"/>
          <w:sz w:val="24"/>
        </w:rPr>
        <w:t>Parqueaderos de visitantes como bienes comunes</w:t>
      </w:r>
    </w:p>
    <w:p>
      <w:pPr>
        <w:keepNext w:val="0"/>
        <w:widowControl/>
        <w:spacing w:lineRule="auto" w:line="480" w:before="0" w:after="0"/>
        <w:ind w:firstLine="720"/>
        <w:jc w:val="left"/>
      </w:pPr>
      <w:r>
        <w:rPr>
          <w:rFonts w:ascii="Times New Roman" w:hAnsi="Times New Roman" w:cs="Times New Roman" w:eastAsia="Times New Roman"/>
          <w:b w:val="0"/>
          <w:i w:val="0"/>
          <w:sz w:val="24"/>
        </w:rPr>
        <w:t>La Ley 675 de 2001 establece que los parqueaderos de visitantes son bienes comunes de uso general (Congreso de Colombia, 2001, art. 22). El diseño debe reflejarlo: el modelo de datos distingue parqueaderos privados y de visitantes, y el módulo de asignación no permite asociar de forma permanente un cupo de visitantes a un vehículo o apartamento.</w:t>
      </w:r>
    </w:p>
    <w:p>
      <w:pPr>
        <w:keepNext/>
        <w:widowControl/>
        <w:spacing w:lineRule="auto" w:line="480" w:before="0" w:after="0"/>
        <w:jc w:val="left"/>
      </w:pPr>
      <w:r>
        <w:rPr>
          <w:rFonts w:ascii="Times New Roman" w:hAnsi="Times New Roman" w:cs="Times New Roman" w:eastAsia="Times New Roman"/>
          <w:b/>
          <w:i w:val="0"/>
          <w:sz w:val="24"/>
        </w:rPr>
        <w:t>Datos personales</w:t>
      </w:r>
    </w:p>
    <w:p>
      <w:pPr>
        <w:keepNext w:val="0"/>
        <w:widowControl/>
        <w:spacing w:lineRule="auto" w:line="480" w:before="0" w:after="0"/>
        <w:ind w:firstLine="720"/>
        <w:jc w:val="left"/>
      </w:pPr>
      <w:r>
        <w:rPr>
          <w:rFonts w:ascii="Times New Roman" w:hAnsi="Times New Roman" w:cs="Times New Roman" w:eastAsia="Times New Roman"/>
          <w:b w:val="0"/>
          <w:i w:val="0"/>
          <w:sz w:val="24"/>
        </w:rPr>
        <w:t>Si el sistema pasara del papel a un registro digital, el responsable del tratamiento debería contar con autorización de los titulares, informar la finalidad, recolectar solo los datos necesarios y limitar quién accede a ellos (Congreso de Colombia, 2012; Presidencia de la República de Colombia, 2013). En el diseño esto se traduce en minimizar campos, no almacenar contraseñas en texto plano y registrar quién consulta o modifica cada dato. En este proyecto todos los datos son ficticios.</w:t>
      </w:r>
    </w:p>
    <w:p>
      <w:pPr>
        <w:keepNext/>
        <w:widowControl/>
        <w:spacing w:lineRule="auto" w:line="480" w:before="0" w:after="0"/>
        <w:jc w:val="left"/>
      </w:pPr>
      <w:r>
        <w:rPr>
          <w:rFonts w:ascii="Times New Roman" w:hAnsi="Times New Roman" w:cs="Times New Roman" w:eastAsia="Times New Roman"/>
          <w:b/>
          <w:i w:val="0"/>
          <w:sz w:val="24"/>
        </w:rPr>
        <w:t>Registros electrónicos y trazabilidad</w:t>
      </w:r>
    </w:p>
    <w:p>
      <w:pPr>
        <w:keepNext w:val="0"/>
        <w:widowControl/>
        <w:spacing w:lineRule="auto" w:line="480" w:before="0" w:after="0"/>
        <w:ind w:firstLine="720"/>
        <w:jc w:val="left"/>
      </w:pPr>
      <w:r>
        <w:rPr>
          <w:rFonts w:ascii="Times New Roman" w:hAnsi="Times New Roman" w:cs="Times New Roman" w:eastAsia="Times New Roman"/>
          <w:b w:val="0"/>
          <w:i w:val="0"/>
          <w:sz w:val="24"/>
        </w:rPr>
        <w:t>La Ley 527 de 1999 reconoce valor a los mensajes de datos (Congreso de Colombia, 1999). Para el sistema se propone, como decisión de diseño y no como obligación legal automática, un historial de ingresos y salidas que conserve usuario, fecha y hora de cada registro y que no se modifique sin dejar rastro.</w:t>
      </w:r>
    </w:p>
    <w:p>
      <w:pPr>
        <w:keepNext/>
        <w:widowControl/>
        <w:spacing w:lineRule="auto" w:line="480" w:before="0" w:after="0"/>
        <w:jc w:val="left"/>
      </w:pPr>
      <w:r>
        <w:rPr>
          <w:rFonts w:ascii="Times New Roman" w:hAnsi="Times New Roman" w:cs="Times New Roman" w:eastAsia="Times New Roman"/>
          <w:b/>
          <w:i w:val="0"/>
          <w:sz w:val="24"/>
        </w:rPr>
        <w:t>Propiedad intelectual y licencias</w:t>
      </w:r>
    </w:p>
    <w:p>
      <w:pPr>
        <w:keepNext w:val="0"/>
        <w:widowControl/>
        <w:spacing w:lineRule="auto" w:line="480" w:before="0" w:after="0"/>
        <w:ind w:firstLine="720"/>
        <w:jc w:val="left"/>
      </w:pPr>
      <w:r>
        <w:rPr>
          <w:rFonts w:ascii="Times New Roman" w:hAnsi="Times New Roman" w:cs="Times New Roman" w:eastAsia="Times New Roman"/>
          <w:b w:val="0"/>
          <w:i w:val="0"/>
          <w:sz w:val="24"/>
        </w:rPr>
        <w:t>El software del proyecto está protegido como obra literaria (Comunidad Andina, 1993). Antes de incorporar una librería o plataforma, el equipo debe revisar su licencia. Por ejemplo, OpenALPR se distribuye bajo AGPL-3.0, lo que condiciona su uso en productos cerrados (OpenALPR, s. f.).</w:t>
      </w:r>
    </w:p>
    <w:p>
      <w:pPr>
        <w:keepNext/>
        <w:widowControl/>
        <w:spacing w:lineRule="auto" w:line="480" w:before="0" w:after="0"/>
        <w:jc w:val="left"/>
      </w:pPr>
      <w:r>
        <w:rPr>
          <w:rFonts w:ascii="Times New Roman" w:hAnsi="Times New Roman" w:cs="Times New Roman" w:eastAsia="Times New Roman"/>
          <w:b/>
          <w:i w:val="0"/>
          <w:sz w:val="24"/>
        </w:rPr>
        <w:t>Tránsito</w:t>
      </w:r>
    </w:p>
    <w:p>
      <w:pPr>
        <w:keepNext w:val="0"/>
        <w:widowControl/>
        <w:spacing w:lineRule="auto" w:line="480" w:before="0" w:after="0"/>
        <w:ind w:firstLine="720"/>
        <w:jc w:val="left"/>
      </w:pPr>
      <w:r>
        <w:rPr>
          <w:rFonts w:ascii="Times New Roman" w:hAnsi="Times New Roman" w:cs="Times New Roman" w:eastAsia="Times New Roman"/>
          <w:b w:val="0"/>
          <w:i w:val="0"/>
          <w:sz w:val="24"/>
        </w:rPr>
        <w:t>El Código Nacional de Tránsito sustenta que la placa sea el identificador del vehículo (Congreso de Colombia, 2002). El sistema debe admitir al menos carros y motos, como lo hace el simulador, aunque el formato exacto de placa debe validarse.</w:t>
      </w:r>
    </w:p>
    <w:p>
      <w:pPr>
        <w:keepNext/>
        <w:widowControl/>
        <w:spacing w:lineRule="auto" w:line="480" w:before="0" w:after="0"/>
        <w:jc w:val="center"/>
      </w:pPr>
      <w:r>
        <w:rPr>
          <w:rFonts w:ascii="Times New Roman" w:hAnsi="Times New Roman" w:cs="Times New Roman" w:eastAsia="Times New Roman"/>
          <w:b/>
          <w:i w:val="0"/>
          <w:sz w:val="24"/>
        </w:rPr>
        <w:t>Conclusión</w:t>
      </w:r>
    </w:p>
    <w:p>
      <w:pPr>
        <w:keepNext w:val="0"/>
        <w:widowControl/>
        <w:spacing w:lineRule="auto" w:line="480" w:before="0" w:after="0"/>
        <w:ind w:firstLine="720"/>
        <w:jc w:val="left"/>
      </w:pPr>
      <w:r>
        <w:rPr>
          <w:rFonts w:ascii="Times New Roman" w:hAnsi="Times New Roman" w:cs="Times New Roman" w:eastAsia="Times New Roman"/>
          <w:b w:val="0"/>
          <w:i w:val="0"/>
          <w:sz w:val="24"/>
        </w:rPr>
        <w:t>La investigación indica que un sistema como C.I.S.P.P.H. opera en un marco legal real: bienes comunes, datos personales, registros electrónicos y propiedad intelectual. Lo que queda por decidir no es si estas normas aplican, sino cómo se reflejan en los requisitos no funcionales y en el diseño, y eso se resuelve en la ingeniería de requisitos y no en este documento.</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Comunidad Andina. (1993, 17 de diciembre). </w:t>
      </w:r>
      <w:r>
        <w:rPr>
          <w:rFonts w:ascii="Times New Roman" w:hAnsi="Times New Roman" w:cs="Times New Roman" w:eastAsia="Times New Roman"/>
          <w:b w:val="0"/>
          <w:i/>
          <w:sz w:val="24"/>
        </w:rPr>
        <w:t>Decisión 351: Régimen común sobre derecho de autor y derechos conexos</w:t>
      </w:r>
      <w:r>
        <w:rPr>
          <w:rFonts w:ascii="Times New Roman" w:hAnsi="Times New Roman" w:cs="Times New Roman" w:eastAsia="Times New Roman"/>
          <w:b w:val="0"/>
          <w:i w:val="0"/>
          <w:sz w:val="24"/>
        </w:rPr>
        <w:t>. Comisión del Acuerdo de Cartagena.</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(1999, 18 de agosto). </w:t>
      </w:r>
      <w:r>
        <w:rPr>
          <w:rFonts w:ascii="Times New Roman" w:hAnsi="Times New Roman" w:cs="Times New Roman" w:eastAsia="Times New Roman"/>
          <w:b w:val="0"/>
          <w:i/>
          <w:sz w:val="24"/>
        </w:rPr>
        <w:t>Ley 527 de 1999: Por medio de la cual se define y reglamenta el acceso y uso de los mensajes de datos, del comercio electrónico y de las firmas digitales</w:t>
      </w:r>
      <w:r>
        <w:rPr>
          <w:rFonts w:ascii="Times New Roman" w:hAnsi="Times New Roman" w:cs="Times New Roman" w:eastAsia="Times New Roman"/>
          <w:b w:val="0"/>
          <w:i w:val="0"/>
          <w:sz w:val="24"/>
        </w:rPr>
        <w:t>.</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(2001, 3 de agosto). </w:t>
      </w:r>
      <w:r>
        <w:rPr>
          <w:rFonts w:ascii="Times New Roman" w:hAnsi="Times New Roman" w:cs="Times New Roman" w:eastAsia="Times New Roman"/>
          <w:b w:val="0"/>
          <w:i/>
          <w:sz w:val="24"/>
        </w:rPr>
        <w:t>Ley 675 de 2001: Por medio de la cual se expide el régimen de propiedad horizontal</w:t>
      </w:r>
      <w:r>
        <w:rPr>
          <w:rFonts w:ascii="Times New Roman" w:hAnsi="Times New Roman" w:cs="Times New Roman" w:eastAsia="Times New Roman"/>
          <w:b w:val="0"/>
          <w:i w:val="0"/>
          <w:sz w:val="24"/>
        </w:rPr>
        <w:t>. Diario Oficial n.º 44.509. https://normas.cra.gov.co/gestor/docs/ley_0675_2001.htm</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(2002, 6 de agosto). </w:t>
      </w:r>
      <w:r>
        <w:rPr>
          <w:rFonts w:ascii="Times New Roman" w:hAnsi="Times New Roman" w:cs="Times New Roman" w:eastAsia="Times New Roman"/>
          <w:b w:val="0"/>
          <w:i/>
          <w:sz w:val="24"/>
        </w:rPr>
        <w:t>Ley 769 de 2002: Por la cual se expide el Código Nacional de Tránsito Terrestre</w:t>
      </w:r>
      <w:r>
        <w:rPr>
          <w:rFonts w:ascii="Times New Roman" w:hAnsi="Times New Roman" w:cs="Times New Roman" w:eastAsia="Times New Roman"/>
          <w:b w:val="0"/>
          <w:i w:val="0"/>
          <w:sz w:val="24"/>
        </w:rPr>
        <w:t>.</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(2012, 17 de octubre). </w:t>
      </w:r>
      <w:r>
        <w:rPr>
          <w:rFonts w:ascii="Times New Roman" w:hAnsi="Times New Roman" w:cs="Times New Roman" w:eastAsia="Times New Roman"/>
          <w:b w:val="0"/>
          <w:i/>
          <w:sz w:val="24"/>
        </w:rPr>
        <w:t>Ley 1581 de 2012: Por la cual se dictan disposiciones generales para la protección de datos personales</w:t>
      </w:r>
      <w:r>
        <w:rPr>
          <w:rFonts w:ascii="Times New Roman" w:hAnsi="Times New Roman" w:cs="Times New Roman" w:eastAsia="Times New Roman"/>
          <w:b w:val="0"/>
          <w:i w:val="0"/>
          <w:sz w:val="24"/>
        </w:rPr>
        <w:t>.</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OpenALPR. (s. f.). </w:t>
      </w:r>
      <w:r>
        <w:rPr>
          <w:rFonts w:ascii="Times New Roman" w:hAnsi="Times New Roman" w:cs="Times New Roman" w:eastAsia="Times New Roman"/>
          <w:b w:val="0"/>
          <w:i/>
          <w:sz w:val="24"/>
        </w:rPr>
        <w:t>OpenALPR: Automatic License Plate Recognition library</w:t>
      </w:r>
      <w:r>
        <w:rPr>
          <w:rFonts w:ascii="Times New Roman" w:hAnsi="Times New Roman" w:cs="Times New Roman" w:eastAsia="Times New Roman"/>
          <w:b w:val="0"/>
          <w:i w:val="0"/>
          <w:sz w:val="24"/>
        </w:rPr>
        <w:t xml:space="preserve"> [Software; licencia AGPL-3.0]. GitHub. https://github.com/openalpr/openalpr</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Presidencia de la República de Colombia. (2013, 27 de junio). </w:t>
      </w:r>
      <w:r>
        <w:rPr>
          <w:rFonts w:ascii="Times New Roman" w:hAnsi="Times New Roman" w:cs="Times New Roman" w:eastAsia="Times New Roman"/>
          <w:b w:val="0"/>
          <w:i/>
          <w:sz w:val="24"/>
        </w:rPr>
        <w:t>Decreto 1377 de 2013: Por el cual se reglamenta parcialmente la Ley 1581 de 2012</w:t>
      </w:r>
      <w:r>
        <w:rPr>
          <w:rFonts w:ascii="Times New Roman" w:hAnsi="Times New Roman" w:cs="Times New Roman" w:eastAsia="Times New Roman"/>
          <w:b w:val="0"/>
          <w:i w:val="0"/>
          <w:sz w:val="24"/>
        </w:rPr>
        <w:t xml:space="preserve"> [compilado en el Decreto 1074 de 2015].</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Investigación Normativa y Legal del Proyecto C.I.S.P.P.H.</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