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i w:val="0"/>
          <w:sz w:val="24"/>
        </w:rPr>
        <w:t>Guía de Observación Directa del Proceso de Ingreso y Salida</w:t>
      </w:r>
    </w:p>
    <w:p>
      <w:pPr>
        <w:keepNext w:val="0"/>
        <w:widowControl/>
        <w:spacing w:lineRule="auto" w:line="480" w:before="0" w:after="0"/>
      </w:pPr>
    </w:p>
    <w:p>
      <w:pPr>
        <w:keepNext w:val="0"/>
        <w:widowControl/>
        <w:spacing w:lineRule="auto" w:line="480" w:before="0" w:after="0"/>
        <w:jc w:val="center"/>
      </w:pPr>
      <w:r>
        <w:rPr>
          <w:rFonts w:ascii="Times New Roman" w:hAnsi="Times New Roman" w:cs="Times New Roman" w:eastAsia="Times New Roman"/>
          <w:b w:val="0"/>
          <w:i w:val="0"/>
          <w:sz w:val="24"/>
        </w:rPr>
        <w:t>Luis David Caicedo Rodríguez</w:t>
      </w:r>
    </w:p>
    <w:p>
      <w:pPr>
        <w:keepNext w:val="0"/>
        <w:widowControl/>
        <w:spacing w:lineRule="auto" w:line="480" w:before="0" w:after="0"/>
        <w:jc w:val="center"/>
      </w:pPr>
      <w:r>
        <w:rPr>
          <w:rFonts w:ascii="Times New Roman" w:hAnsi="Times New Roman" w:cs="Times New Roman" w:eastAsia="Times New Roman"/>
          <w:b w:val="0"/>
          <w:i w:val="0"/>
          <w:sz w:val="24"/>
        </w:rPr>
        <w:t>Edisson David Vargas Castiblanco</w:t>
      </w:r>
    </w:p>
    <w:p>
      <w:pPr>
        <w:keepNext w:val="0"/>
        <w:widowControl/>
        <w:spacing w:lineRule="auto" w:line="480" w:before="0" w:after="0"/>
        <w:jc w:val="center"/>
      </w:pPr>
      <w:r>
        <w:rPr>
          <w:rFonts w:ascii="Times New Roman" w:hAnsi="Times New Roman" w:cs="Times New Roman" w:eastAsia="Times New Roman"/>
          <w:b w:val="0"/>
          <w:i w:val="0"/>
          <w:sz w:val="24"/>
        </w:rPr>
        <w:t>Javier Santiago Pérez Tobon</w:t>
      </w:r>
    </w:p>
    <w:p>
      <w:pPr>
        <w:keepNext w:val="0"/>
        <w:widowControl/>
        <w:spacing w:lineRule="auto" w:line="480" w:before="0" w:after="0"/>
        <w:jc w:val="center"/>
      </w:pPr>
      <w:r>
        <w:rPr>
          <w:rFonts w:ascii="Times New Roman" w:hAnsi="Times New Roman" w:cs="Times New Roman" w:eastAsia="Times New Roman"/>
          <w:b w:val="0"/>
          <w:i w:val="0"/>
          <w:sz w:val="24"/>
        </w:rPr>
        <w:t>Escuela Tecnológica Instituto Técnico Central (ETITC)</w:t>
      </w:r>
    </w:p>
    <w:p>
      <w:pPr>
        <w:keepNext w:val="0"/>
        <w:widowControl/>
        <w:spacing w:lineRule="auto" w:line="480" w:before="0" w:after="0"/>
        <w:jc w:val="center"/>
      </w:pPr>
      <w:r>
        <w:rPr>
          <w:rFonts w:ascii="Times New Roman" w:hAnsi="Times New Roman" w:cs="Times New Roman" w:eastAsia="Times New Roman"/>
          <w:b w:val="0"/>
          <w:i w:val="0"/>
          <w:sz w:val="24"/>
        </w:rPr>
        <w:t>Tecnología en Desarrollo de Software</w:t>
      </w:r>
    </w:p>
    <w:p>
      <w:pPr>
        <w:keepNext w:val="0"/>
        <w:widowControl/>
        <w:spacing w:lineRule="auto" w:line="480" w:before="0" w:after="0"/>
        <w:jc w:val="center"/>
      </w:pPr>
      <w:r>
        <w:rPr>
          <w:rFonts w:ascii="Times New Roman" w:hAnsi="Times New Roman" w:cs="Times New Roman" w:eastAsia="Times New Roman"/>
          <w:b w:val="0"/>
          <w:i w:val="0"/>
          <w:sz w:val="24"/>
        </w:rPr>
        <w:t>Diseño de Software I</w:t>
      </w:r>
    </w:p>
    <w:p>
      <w:pPr>
        <w:keepNext w:val="0"/>
        <w:widowControl/>
        <w:spacing w:lineRule="auto" w:line="480" w:before="0" w:after="0"/>
        <w:jc w:val="center"/>
      </w:pPr>
      <w:r>
        <w:rPr>
          <w:rFonts w:ascii="Times New Roman" w:hAnsi="Times New Roman" w:cs="Times New Roman" w:eastAsia="Times New Roman"/>
          <w:b w:val="0"/>
          <w:i w:val="0"/>
          <w:sz w:val="24"/>
        </w:rPr>
        <w:t>José Del Carmen Ortega Castro</w:t>
      </w:r>
    </w:p>
    <w:p>
      <w:pPr>
        <w:keepNext w:val="0"/>
        <w:widowControl/>
        <w:spacing w:lineRule="auto" w:line="480" w:before="0" w:after="0"/>
        <w:jc w:val="center"/>
      </w:pPr>
      <w:r>
        <w:rPr>
          <w:rFonts w:ascii="Times New Roman" w:hAnsi="Times New Roman" w:cs="Times New Roman" w:eastAsia="Times New Roman"/>
          <w:b w:val="0"/>
          <w:i w:val="0"/>
          <w:sz w:val="24"/>
        </w:rPr>
        <w:t>26 de octubre de 2026</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Guía de Observación Directa del Proceso de Ingreso y Salida</w:t>
      </w:r>
    </w:p>
    <w:p>
      <w:pPr>
        <w:keepNext/>
        <w:widowControl/>
        <w:spacing w:lineRule="auto" w:line="480" w:before="0" w:after="0"/>
        <w:jc w:val="left"/>
      </w:pPr>
      <w:r>
        <w:rPr>
          <w:rFonts w:ascii="Times New Roman" w:hAnsi="Times New Roman" w:cs="Times New Roman" w:eastAsia="Times New Roman"/>
          <w:b/>
          <w:i w:val="0"/>
          <w:sz w:val="24"/>
        </w:rPr>
        <w:t>Nota de alcance</w:t>
      </w:r>
    </w:p>
    <w:p>
      <w:pPr>
        <w:keepNext w:val="0"/>
        <w:widowControl/>
        <w:spacing w:lineRule="auto" w:line="480" w:before="0" w:after="0"/>
        <w:ind w:firstLine="720"/>
        <w:jc w:val="left"/>
      </w:pPr>
      <w:r>
        <w:rPr>
          <w:rFonts w:ascii="Times New Roman" w:hAnsi="Times New Roman" w:cs="Times New Roman" w:eastAsia="Times New Roman"/>
          <w:b w:val="0"/>
          <w:i w:val="0"/>
          <w:sz w:val="24"/>
        </w:rPr>
        <w:t>El Conjunto Residencial Robles del Norte P.H., su administración, el personal de vigilancia, los residentes y todas las cifras que aparecen en este documento son ficticios. Fueron construidos por el equipo con fines académicos, tomando como referencia la literatura sobre control de acceso vehicular y la Ley 675 de 2001. No existe un cliente real ni se realizaron entrevistas, encuestas ni observaciones con terceros. Toda afirmación sobre «el cliente» es una hipótesis de trabajo del caso ilustrativo. Para redactar y organizar este documento el equipo usó Claude (Anthropic) como herramienta de apoyo; las decisiones y la revisión final corresponden al equipo y al docente.</w:t>
      </w:r>
    </w:p>
    <w:p>
      <w:pPr>
        <w:keepNext/>
        <w:widowControl/>
        <w:spacing w:lineRule="auto" w:line="480" w:before="0" w:after="0"/>
        <w:jc w:val="center"/>
      </w:pPr>
      <w:r>
        <w:rPr>
          <w:rFonts w:ascii="Times New Roman" w:hAnsi="Times New Roman" w:cs="Times New Roman" w:eastAsia="Times New Roman"/>
          <w:b/>
          <w:i w:val="0"/>
          <w:sz w:val="24"/>
        </w:rPr>
        <w:t>Propósito</w:t>
      </w:r>
    </w:p>
    <w:p>
      <w:pPr>
        <w:keepNext w:val="0"/>
        <w:widowControl/>
        <w:spacing w:lineRule="auto" w:line="480" w:before="0" w:after="0"/>
        <w:ind w:firstLine="720"/>
        <w:jc w:val="left"/>
      </w:pPr>
      <w:r>
        <w:rPr>
          <w:rFonts w:ascii="Times New Roman" w:hAnsi="Times New Roman" w:cs="Times New Roman" w:eastAsia="Times New Roman"/>
          <w:b w:val="0"/>
          <w:i w:val="0"/>
          <w:sz w:val="24"/>
        </w:rPr>
        <w:t xml:space="preserve">La observación directa consiste en mirar el proceso en el lugar donde ocurre, sin intervenirlo, y registrar lo que se ve. Esta guía deja listo el instrumento para usarlo si el equipo accede a un parqueadero real. Hasta hoy </w:t>
      </w:r>
      <w:r>
        <w:rPr>
          <w:rFonts w:ascii="Times New Roman" w:hAnsi="Times New Roman" w:cs="Times New Roman" w:eastAsia="Times New Roman"/>
          <w:b/>
          <w:i w:val="0"/>
          <w:sz w:val="24"/>
        </w:rPr>
        <w:t>no se ha realizado ninguna observación directa</w:t>
      </w:r>
      <w:r>
        <w:rPr>
          <w:rFonts w:ascii="Times New Roman" w:hAnsi="Times New Roman" w:cs="Times New Roman" w:eastAsia="Times New Roman"/>
          <w:b w:val="0"/>
          <w:i w:val="0"/>
          <w:sz w:val="24"/>
        </w:rPr>
        <w:t>, porque el caso es ficticio; el documento no contiene datos observados.</w:t>
      </w:r>
    </w:p>
    <w:p>
      <w:pPr>
        <w:keepNext/>
        <w:widowControl/>
        <w:spacing w:lineRule="auto" w:line="480" w:before="0" w:after="0"/>
        <w:jc w:val="center"/>
      </w:pPr>
      <w:r>
        <w:rPr>
          <w:rFonts w:ascii="Times New Roman" w:hAnsi="Times New Roman" w:cs="Times New Roman" w:eastAsia="Times New Roman"/>
          <w:b/>
          <w:i w:val="0"/>
          <w:sz w:val="24"/>
        </w:rPr>
        <w:t>Qué observar</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Cómo llega y se identifica un vehículo, y cuánto tarda cada paso.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Qué registra el guarda, en qué medio y qué errores corrige.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Cómo se trata a los visitantes y quién autoriza su ingreso.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Cómo se sabe si hay cupo disponible.</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Qué ocurre en las horas de mayor movimiento y cuando falla algo.</w:t>
      </w:r>
    </w:p>
    <w:p>
      <w:pPr>
        <w:keepNext/>
        <w:widowControl/>
        <w:spacing w:lineRule="auto" w:line="480" w:before="0" w:after="0"/>
        <w:jc w:val="center"/>
      </w:pPr>
      <w:r>
        <w:rPr>
          <w:rFonts w:ascii="Times New Roman" w:hAnsi="Times New Roman" w:cs="Times New Roman" w:eastAsia="Times New Roman"/>
          <w:b/>
          <w:i w:val="0"/>
          <w:sz w:val="24"/>
        </w:rPr>
        <w:t>Protocolo</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Pedir autorización a la administración antes de observar.</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No tomar fotografías ni anotar datos personales identificables; registrar placas solo si hay autorización, pues una placa asociada a una persona es un dato personal (Congreso de Colombia, 2012).</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Observar en al menos dos franjas horarias distintas.</w:t>
      </w:r>
    </w:p>
    <w:p>
      <w:pPr>
        <w:keepNext w:val="0"/>
        <w:widowControl/>
        <w:spacing w:lineRule="auto" w:line="480" w:before="0" w:after="0"/>
        <w:ind w:left="1080" w:hanging="360"/>
        <w:jc w:val="left"/>
      </w:pPr>
      <w:r>
        <w:rPr>
          <w:rFonts w:ascii="Times New Roman" w:hAnsi="Times New Roman" w:cs="Times New Roman" w:eastAsia="Times New Roman"/>
          <w:b w:val="0"/>
          <w:i w:val="0"/>
          <w:sz w:val="24"/>
        </w:rPr>
        <w:t>• Anotar hechos, no interpretaciones; las hipótesis van en una columna aparte.</w:t>
      </w:r>
    </w:p>
    <w:p>
      <w:pPr>
        <w:keepNext/>
        <w:widowControl/>
        <w:spacing w:lineRule="auto" w:line="480" w:before="0" w:after="0"/>
        <w:jc w:val="left"/>
      </w:pPr>
      <w:r>
        <w:rPr>
          <w:rFonts w:ascii="Times New Roman" w:hAnsi="Times New Roman" w:cs="Times New Roman" w:eastAsia="Times New Roman"/>
          <w:b/>
          <w:i w:val="0"/>
          <w:sz w:val="24"/>
        </w:rPr>
        <w:t>Tabla 1</w:t>
      </w:r>
    </w:p>
    <w:p>
      <w:pPr>
        <w:keepNext/>
        <w:widowControl/>
        <w:spacing w:lineRule="auto" w:line="480" w:before="0" w:after="0"/>
        <w:jc w:val="left"/>
      </w:pPr>
      <w:r>
        <w:rPr>
          <w:rFonts w:ascii="Times New Roman" w:hAnsi="Times New Roman" w:cs="Times New Roman" w:eastAsia="Times New Roman"/>
          <w:b w:val="0"/>
          <w:i/>
          <w:sz w:val="24"/>
        </w:rPr>
        <w:t>Registro de observación</w:t>
      </w:r>
    </w:p>
    <w:tbl>
      <w:tblPr>
        <w:jc w:val="center"/>
        <w:tblLayout w:type="fixed"/>
        <w:tblLook w:firstColumn="1" w:firstRow="1" w:lastColumn="0" w:lastRow="0" w:noHBand="0" w:noVBand="1" w:val="04A0"/>
        <w:tblLayout w:type="fixed"/>
        <w:tblW w:w="9360" w:type="dxa"/>
      </w:tblPr>
      <w:tblGrid>
        <w:gridCol w:w="1007"/>
        <w:gridCol w:w="2880"/>
        <w:gridCol w:w="1152"/>
        <w:gridCol w:w="2160"/>
        <w:gridCol w:w="2160"/>
      </w:tblGrid>
      <w:tr>
        <w:trPr>
          <w:tblHeader w:val="true"/>
          <w:cantSplit w:val="true"/>
        </w:trPr>
        <w:tc>
          <w:tcPr>
            <w:tcW w:type="dxa" w:w="1008"/>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Hora</w:t>
            </w:r>
          </w:p>
        </w:tc>
        <w:tc>
          <w:tcPr>
            <w:tcW w:type="dxa" w:w="288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Evento observado</w:t>
            </w:r>
          </w:p>
        </w:tc>
        <w:tc>
          <w:tcPr>
            <w:tcW w:type="dxa" w:w="1152"/>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Duración (s)</w:t>
            </w:r>
          </w:p>
        </w:tc>
        <w:tc>
          <w:tcPr>
            <w:tcW w:type="dxa" w:w="216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Dificultad o error</w:t>
            </w:r>
          </w:p>
        </w:tc>
        <w:tc>
          <w:tcPr>
            <w:tcW w:type="dxa" w:w="2160"/>
            <w:tcBorders>
              <w:top w:val="single" w:sz="8" w:color="000000" w:space="0"/>
              <w:left w:val="nil"/>
              <w:bottom w:val="single" w:sz="6" w:color="000000" w:space="0"/>
              <w:right w:val="nil"/>
            </w:tcBorders>
          </w:tcPr>
          <w:p>
            <w:pPr>
              <w:keepNext w:val="0"/>
              <w:widowControl/>
              <w:spacing w:lineRule="auto" w:line="240" w:before="40" w:after="40"/>
              <w:jc w:val="left"/>
            </w:pPr>
            <w:r>
              <w:rPr>
                <w:rFonts w:ascii="Times New Roman" w:hAnsi="Times New Roman" w:cs="Times New Roman" w:eastAsia="Times New Roman"/>
                <w:b/>
                <w:i w:val="0"/>
                <w:sz w:val="18"/>
              </w:rPr>
              <w:t>Hipótesis (no es hecho)</w:t>
            </w:r>
          </w:p>
        </w:tc>
      </w:tr>
      <w:tr>
        <w:trPr>
          <w:cantSplit w:val="true"/>
        </w:trPr>
        <w:tc>
          <w:tcPr>
            <w:tcW w:type="dxa" w:w="1008"/>
            <w:tcBorders>
              <w:top w:val="single" w:sz="6" w:color="000000" w:space="0"/>
              <w:left w:val="nil"/>
              <w:bottom w:val="nil"/>
              <w:right w:val="nil"/>
            </w:tcBorders>
          </w:tcPr>
          <w:p>
            <w:pPr>
              <w:keepNext w:val="0"/>
              <w:widowControl/>
              <w:spacing w:lineRule="auto" w:line="240" w:before="40" w:after="40"/>
              <w:jc w:val="left"/>
            </w:pPr>
          </w:p>
        </w:tc>
        <w:tc>
          <w:tcPr>
            <w:tcW w:type="dxa" w:w="2880"/>
            <w:tcBorders>
              <w:top w:val="single" w:sz="6" w:color="000000" w:space="0"/>
              <w:left w:val="nil"/>
              <w:bottom w:val="nil"/>
              <w:right w:val="nil"/>
            </w:tcBorders>
          </w:tcPr>
          <w:p>
            <w:pPr>
              <w:keepNext w:val="0"/>
              <w:widowControl/>
              <w:spacing w:lineRule="auto" w:line="240" w:before="40" w:after="40"/>
              <w:jc w:val="left"/>
            </w:pPr>
          </w:p>
        </w:tc>
        <w:tc>
          <w:tcPr>
            <w:tcW w:type="dxa" w:w="1152"/>
            <w:tcBorders>
              <w:top w:val="single" w:sz="6" w:color="000000" w:space="0"/>
              <w:left w:val="nil"/>
              <w:bottom w:val="nil"/>
              <w:right w:val="nil"/>
            </w:tcBorders>
          </w:tcPr>
          <w:p>
            <w:pPr>
              <w:keepNext w:val="0"/>
              <w:widowControl/>
              <w:spacing w:lineRule="auto" w:line="240" w:before="40" w:after="40"/>
              <w:jc w:val="left"/>
            </w:pPr>
          </w:p>
        </w:tc>
        <w:tc>
          <w:tcPr>
            <w:tcW w:type="dxa" w:w="2160"/>
            <w:tcBorders>
              <w:top w:val="single" w:sz="6" w:color="000000" w:space="0"/>
              <w:left w:val="nil"/>
              <w:bottom w:val="nil"/>
              <w:right w:val="nil"/>
            </w:tcBorders>
          </w:tcPr>
          <w:p>
            <w:pPr>
              <w:keepNext w:val="0"/>
              <w:widowControl/>
              <w:spacing w:lineRule="auto" w:line="240" w:before="40" w:after="40"/>
              <w:jc w:val="left"/>
            </w:pPr>
          </w:p>
        </w:tc>
        <w:tc>
          <w:tcPr>
            <w:tcW w:type="dxa" w:w="2160"/>
            <w:tcBorders>
              <w:top w:val="single" w:sz="6" w:color="000000" w:space="0"/>
              <w:left w:val="nil"/>
              <w:bottom w:val="nil"/>
              <w:right w:val="nil"/>
            </w:tcBorders>
          </w:tcPr>
          <w:p>
            <w:pPr>
              <w:keepNext w:val="0"/>
              <w:widowControl/>
              <w:spacing w:lineRule="auto" w:line="240" w:before="40" w:after="40"/>
              <w:jc w:val="left"/>
            </w:pPr>
          </w:p>
        </w:tc>
      </w:tr>
      <w:tr>
        <w:trPr>
          <w:cantSplit w:val="true"/>
        </w:trPr>
        <w:tc>
          <w:tcPr>
            <w:tcW w:type="dxa" w:w="1008"/>
            <w:tcBorders>
              <w:top w:val="nil"/>
              <w:left w:val="nil"/>
              <w:bottom w:val="nil"/>
              <w:right w:val="nil"/>
            </w:tcBorders>
          </w:tcPr>
          <w:p>
            <w:pPr>
              <w:keepNext w:val="0"/>
              <w:widowControl/>
              <w:spacing w:lineRule="auto" w:line="240" w:before="40" w:after="40"/>
              <w:jc w:val="left"/>
            </w:pPr>
          </w:p>
        </w:tc>
        <w:tc>
          <w:tcPr>
            <w:tcW w:type="dxa" w:w="2880"/>
            <w:tcBorders>
              <w:top w:val="nil"/>
              <w:left w:val="nil"/>
              <w:bottom w:val="nil"/>
              <w:right w:val="nil"/>
            </w:tcBorders>
          </w:tcPr>
          <w:p>
            <w:pPr>
              <w:keepNext w:val="0"/>
              <w:widowControl/>
              <w:spacing w:lineRule="auto" w:line="240" w:before="40" w:after="40"/>
              <w:jc w:val="left"/>
            </w:pPr>
          </w:p>
        </w:tc>
        <w:tc>
          <w:tcPr>
            <w:tcW w:type="dxa" w:w="1152"/>
            <w:tcBorders>
              <w:top w:val="nil"/>
              <w:left w:val="nil"/>
              <w:bottom w:val="nil"/>
              <w:right w:val="nil"/>
            </w:tcBorders>
          </w:tcPr>
          <w:p>
            <w:pPr>
              <w:keepNext w:val="0"/>
              <w:widowControl/>
              <w:spacing w:lineRule="auto" w:line="240" w:before="40" w:after="40"/>
              <w:jc w:val="left"/>
            </w:pPr>
          </w:p>
        </w:tc>
        <w:tc>
          <w:tcPr>
            <w:tcW w:type="dxa" w:w="2160"/>
            <w:tcBorders>
              <w:top w:val="nil"/>
              <w:left w:val="nil"/>
              <w:bottom w:val="nil"/>
              <w:right w:val="nil"/>
            </w:tcBorders>
          </w:tcPr>
          <w:p>
            <w:pPr>
              <w:keepNext w:val="0"/>
              <w:widowControl/>
              <w:spacing w:lineRule="auto" w:line="240" w:before="40" w:after="40"/>
              <w:jc w:val="left"/>
            </w:pPr>
          </w:p>
        </w:tc>
        <w:tc>
          <w:tcPr>
            <w:tcW w:type="dxa" w:w="2160"/>
            <w:tcBorders>
              <w:top w:val="nil"/>
              <w:left w:val="nil"/>
              <w:bottom w:val="nil"/>
              <w:right w:val="nil"/>
            </w:tcBorders>
          </w:tcPr>
          <w:p>
            <w:pPr>
              <w:keepNext w:val="0"/>
              <w:widowControl/>
              <w:spacing w:lineRule="auto" w:line="240" w:before="40" w:after="40"/>
              <w:jc w:val="left"/>
            </w:pPr>
          </w:p>
        </w:tc>
      </w:tr>
      <w:tr>
        <w:trPr>
          <w:cantSplit w:val="true"/>
        </w:trPr>
        <w:tc>
          <w:tcPr>
            <w:tcW w:type="dxa" w:w="1008"/>
            <w:tcBorders>
              <w:top w:val="nil"/>
              <w:left w:val="nil"/>
              <w:bottom w:val="single" w:sz="8" w:color="000000" w:space="0"/>
              <w:right w:val="nil"/>
            </w:tcBorders>
          </w:tcPr>
          <w:p>
            <w:pPr>
              <w:keepNext w:val="0"/>
              <w:widowControl/>
              <w:spacing w:lineRule="auto" w:line="240" w:before="40" w:after="40"/>
              <w:jc w:val="left"/>
            </w:pPr>
          </w:p>
        </w:tc>
        <w:tc>
          <w:tcPr>
            <w:tcW w:type="dxa" w:w="2880"/>
            <w:tcBorders>
              <w:top w:val="nil"/>
              <w:left w:val="nil"/>
              <w:bottom w:val="single" w:sz="8" w:color="000000" w:space="0"/>
              <w:right w:val="nil"/>
            </w:tcBorders>
          </w:tcPr>
          <w:p>
            <w:pPr>
              <w:keepNext w:val="0"/>
              <w:widowControl/>
              <w:spacing w:lineRule="auto" w:line="240" w:before="40" w:after="40"/>
              <w:jc w:val="left"/>
            </w:pPr>
          </w:p>
        </w:tc>
        <w:tc>
          <w:tcPr>
            <w:tcW w:type="dxa" w:w="1152"/>
            <w:tcBorders>
              <w:top w:val="nil"/>
              <w:left w:val="nil"/>
              <w:bottom w:val="single" w:sz="8" w:color="000000" w:space="0"/>
              <w:right w:val="nil"/>
            </w:tcBorders>
          </w:tcPr>
          <w:p>
            <w:pPr>
              <w:keepNext w:val="0"/>
              <w:widowControl/>
              <w:spacing w:lineRule="auto" w:line="240" w:before="40" w:after="40"/>
              <w:jc w:val="left"/>
            </w:pPr>
          </w:p>
        </w:tc>
        <w:tc>
          <w:tcPr>
            <w:tcW w:type="dxa" w:w="2160"/>
            <w:tcBorders>
              <w:top w:val="nil"/>
              <w:left w:val="nil"/>
              <w:bottom w:val="single" w:sz="8" w:color="000000" w:space="0"/>
              <w:right w:val="nil"/>
            </w:tcBorders>
          </w:tcPr>
          <w:p>
            <w:pPr>
              <w:keepNext w:val="0"/>
              <w:widowControl/>
              <w:spacing w:lineRule="auto" w:line="240" w:before="40" w:after="40"/>
              <w:jc w:val="left"/>
            </w:pPr>
          </w:p>
        </w:tc>
        <w:tc>
          <w:tcPr>
            <w:tcW w:type="dxa" w:w="2160"/>
            <w:tcBorders>
              <w:top w:val="nil"/>
              <w:left w:val="nil"/>
              <w:bottom w:val="single" w:sz="8" w:color="000000" w:space="0"/>
              <w:right w:val="nil"/>
            </w:tcBorders>
          </w:tcPr>
          <w:p>
            <w:pPr>
              <w:keepNext w:val="0"/>
              <w:widowControl/>
              <w:spacing w:lineRule="auto" w:line="240" w:before="40" w:after="40"/>
              <w:jc w:val="left"/>
            </w:pPr>
          </w:p>
        </w:tc>
      </w:tr>
    </w:tbl>
    <w:p>
      <w:pPr>
        <w:keepNext w:val="0"/>
        <w:widowControl/>
        <w:spacing w:lineRule="auto" w:line="240" w:before="80" w:after="200"/>
        <w:jc w:val="left"/>
      </w:pPr>
      <w:r>
        <w:rPr>
          <w:rFonts w:ascii="Times New Roman" w:hAnsi="Times New Roman" w:cs="Times New Roman" w:eastAsia="Times New Roman"/>
          <w:i/>
          <w:sz w:val="20"/>
        </w:rPr>
        <w:t xml:space="preserve">Nota. </w:t>
      </w:r>
      <w:r>
        <w:rPr>
          <w:rFonts w:ascii="Times New Roman" w:hAnsi="Times New Roman" w:cs="Times New Roman" w:eastAsia="Times New Roman"/>
          <w:b w:val="0"/>
          <w:i w:val="0"/>
          <w:sz w:val="20"/>
        </w:rPr>
        <w:t>Plantilla en blanco.</w:t>
      </w:r>
    </w:p>
    <w:p>
      <w:pPr>
        <w:keepNext/>
        <w:widowControl/>
        <w:spacing w:lineRule="auto" w:line="480" w:before="0" w:after="0"/>
        <w:jc w:val="center"/>
      </w:pPr>
      <w:r>
        <w:rPr>
          <w:rFonts w:ascii="Times New Roman" w:hAnsi="Times New Roman" w:cs="Times New Roman" w:eastAsia="Times New Roman"/>
          <w:b/>
          <w:i w:val="0"/>
          <w:sz w:val="24"/>
        </w:rPr>
        <w:t>Uso de los resultados</w:t>
      </w:r>
    </w:p>
    <w:p>
      <w:pPr>
        <w:keepNext w:val="0"/>
        <w:widowControl/>
        <w:spacing w:lineRule="auto" w:line="480" w:before="0" w:after="0"/>
        <w:ind w:firstLine="720"/>
        <w:jc w:val="left"/>
      </w:pPr>
      <w:r>
        <w:rPr>
          <w:rFonts w:ascii="Times New Roman" w:hAnsi="Times New Roman" w:cs="Times New Roman" w:eastAsia="Times New Roman"/>
          <w:b w:val="0"/>
          <w:i w:val="0"/>
          <w:sz w:val="24"/>
        </w:rPr>
        <w:t>Los hallazgos se contrastarán con la narrativa y los requisitos para confirmar o descartar las necesidades N-01 a N-07, y se registrará la fecha, el lugar y el observador de cada sesión.</w:t>
      </w:r>
    </w:p>
    <w:p>
      <w:pPr>
        <w:keepNext w:val="0"/>
        <w:widowControl/>
        <w:spacing w:lineRule="auto" w:line="240" w:before="0" w:after="0"/>
      </w:pPr>
      <w:r>
        <w:br w:type="page"/>
      </w:r>
    </w:p>
    <w:p>
      <w:pPr>
        <w:keepNext/>
        <w:widowControl/>
        <w:spacing w:lineRule="auto" w:line="480" w:before="0" w:after="0"/>
        <w:jc w:val="center"/>
      </w:pPr>
      <w:r>
        <w:rPr>
          <w:rFonts w:ascii="Times New Roman" w:hAnsi="Times New Roman" w:cs="Times New Roman" w:eastAsia="Times New Roman"/>
          <w:b/>
          <w:i w:val="0"/>
          <w:sz w:val="24"/>
        </w:rPr>
        <w:t>Referencias</w:t>
      </w:r>
    </w:p>
    <w:p>
      <w:pPr>
        <w:keepNext w:val="0"/>
        <w:widowControl/>
        <w:spacing w:lineRule="auto" w:line="480" w:before="0" w:after="0"/>
        <w:ind w:left="720" w:hanging="720"/>
        <w:jc w:val="left"/>
      </w:pPr>
      <w:r>
        <w:rPr>
          <w:rFonts w:ascii="Times New Roman" w:hAnsi="Times New Roman" w:cs="Times New Roman" w:eastAsia="Times New Roman"/>
          <w:b w:val="0"/>
          <w:i w:val="0"/>
          <w:sz w:val="24"/>
        </w:rPr>
        <w:t xml:space="preserve">Congreso de Colombia. (2012, 17 de octubre). </w:t>
      </w:r>
      <w:r>
        <w:rPr>
          <w:rFonts w:ascii="Times New Roman" w:hAnsi="Times New Roman" w:cs="Times New Roman" w:eastAsia="Times New Roman"/>
          <w:b w:val="0"/>
          <w:i/>
          <w:sz w:val="24"/>
        </w:rPr>
        <w:t>Ley 1581 de 2012: Por la cual se dictan disposiciones generales para la protección de datos personales</w:t>
      </w:r>
      <w:r>
        <w:rPr>
          <w:rFonts w:ascii="Times New Roman" w:hAnsi="Times New Roman" w:cs="Times New Roman" w:eastAsia="Times New Roman"/>
          <w:b w:val="0"/>
          <w:i w:val="0"/>
          <w:sz w:val="24"/>
        </w:rPr>
        <w: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eastAsia="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Observación Directa del Proceso de Ingreso y Salida</dc:title>
  <dc:subject>C.I.S.P.P.H. – Diseño de Software I</dc:subject>
  <dc:creator>Luis David Caicedo Rodríguez; Edisson David Vargas Castiblanco; Javier Santiago Pérez Tobon</dc:creator>
  <cp:keywords/>
  <dc:description>generated by python-docx</dc:description>
  <cp:lastModifiedBy/>
  <cp:revision>1</cp:revision>
  <dcterms:created xsi:type="dcterms:W3CDTF">2013-12-23T23:15:00Z</dcterms:created>
  <dcterms:modified xsi:type="dcterms:W3CDTF">2013-12-23T23:15:00Z</dcterms:modified>
  <cp:category/>
</cp:coreProperties>
</file>