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Comparación de Herramientas de Lectura Automática de Placas (LPR)</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Comparación de Herramientas de Lectura Automática de Placas (LPR)</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La lectura automática de placas (LPR o ANPR) convierte la imagen de una placa en texto para identificar un vehículo. Este documento compara tres herramientas que el equipo evaluó como posibles apoyos de C.I.S.P.P.H. Es un estudio documental: no se instaló ni se probó ninguna herramienta, y no se midió su exactitud.</w:t>
      </w:r>
    </w:p>
    <w:p>
      <w:pPr>
        <w:keepNext/>
        <w:widowControl/>
        <w:spacing w:lineRule="auto" w:line="480" w:before="0" w:after="0"/>
        <w:jc w:val="center"/>
      </w:pPr>
      <w:r>
        <w:rPr>
          <w:rFonts w:ascii="Times New Roman" w:hAnsi="Times New Roman" w:cs="Times New Roman" w:eastAsia="Times New Roman"/>
          <w:b/>
          <w:i w:val="0"/>
          <w:sz w:val="24"/>
        </w:rPr>
        <w:t>Herramientas comparadas</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Comparación de herramientas LPR</w:t>
      </w:r>
    </w:p>
    <w:tbl>
      <w:tblPr>
        <w:jc w:val="center"/>
        <w:tblLayout w:type="fixed"/>
        <w:tblLook w:firstColumn="1" w:firstRow="1" w:lastColumn="0" w:lastRow="0" w:noHBand="0" w:noVBand="1" w:val="04A0"/>
        <w:tblLayout w:type="fixed"/>
        <w:tblW w:w="9360" w:type="dxa"/>
      </w:tblPr>
      <w:tblGrid>
        <w:gridCol w:w="1728"/>
        <w:gridCol w:w="2592"/>
        <w:gridCol w:w="2448"/>
        <w:gridCol w:w="2592"/>
      </w:tblGrid>
      <w:tr>
        <w:trPr>
          <w:tblHeader w:val="true"/>
          <w:cantSplit w:val="true"/>
        </w:trPr>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Criterio</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Plate Recognizer Snapshot</w:t>
            </w:r>
          </w:p>
        </w:tc>
        <w:tc>
          <w:tcPr>
            <w:tcW w:type="dxa" w:w="244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OpenALPR</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SimpleLPR</w:t>
            </w:r>
          </w:p>
        </w:tc>
      </w:tr>
      <w:tr>
        <w:trPr>
          <w:cantSplit w:val="true"/>
        </w:trPr>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Tipo</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SDK en imagen Docker</w:t>
            </w:r>
          </w:p>
        </w:tc>
        <w:tc>
          <w:tcPr>
            <w:tcW w:type="dxa" w:w="244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Biblioteca de código abierto en C++</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Biblioteca con APIs para C++, .NET y Python</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Licencia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Licencia SDK de pago; cada licencia se usa en una sola máquina; precio no indicado en la página</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GNU AGPL v3; hay licencias comerciales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Evaluación de 60 días; licencia de producción de pago único; precio por consulta</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Plataformas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Docker; Linux recomendado; CPU Intel con AVX o Raspberry Pi 3</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Linux, macOS y Windows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Windows 10/11 y Ubuntu 20.04 o superior (x64)</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Funcionamiento sin internet</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Sí, tras instalar (se requiere conexión durante la instalación)</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Sí, se ejecuta de forma local</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Biblioteca local</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Cobertura Colombia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No indicada en la página consultada</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No verificada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Menciona la plantilla de motocicletas de Colombia en la versión 3.6.4</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Estado documental</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Documentación vigente</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La página no muestra fecha del último cambio y sus dependencias son antiguas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Última actualización indicada: 25/07/2026</w:t>
            </w:r>
          </w:p>
        </w:tc>
      </w:tr>
      <w:tr>
        <w:trPr>
          <w:cantSplit w:val="true"/>
        </w:trPr>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Fuente</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Plate Recognizer (s. f.)</w:t>
            </w:r>
          </w:p>
        </w:tc>
        <w:tc>
          <w:tcPr>
            <w:tcW w:type="dxa" w:w="244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OpenALPR (s. f.)</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WareLogic (2026)</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a partir de la documentación citada. «No verificada» significa que la fuente consultada no lo afirma.</w:t>
      </w:r>
    </w:p>
    <w:p>
      <w:pPr>
        <w:keepNext/>
        <w:widowControl/>
        <w:spacing w:lineRule="auto" w:line="480" w:before="0" w:after="0"/>
        <w:jc w:val="center"/>
      </w:pPr>
      <w:r>
        <w:rPr>
          <w:rFonts w:ascii="Times New Roman" w:hAnsi="Times New Roman" w:cs="Times New Roman" w:eastAsia="Times New Roman"/>
          <w:b/>
          <w:i w:val="0"/>
          <w:sz w:val="24"/>
        </w:rPr>
        <w:t>Análisis</w:t>
      </w:r>
    </w:p>
    <w:p>
      <w:pPr>
        <w:keepNext w:val="0"/>
        <w:widowControl/>
        <w:spacing w:lineRule="auto" w:line="480" w:before="0" w:after="0"/>
        <w:ind w:firstLine="720"/>
        <w:jc w:val="left"/>
      </w:pPr>
      <w:r>
        <w:rPr>
          <w:rFonts w:ascii="Times New Roman" w:hAnsi="Times New Roman" w:cs="Times New Roman" w:eastAsia="Times New Roman"/>
          <w:b w:val="0"/>
          <w:i w:val="0"/>
          <w:sz w:val="24"/>
        </w:rPr>
        <w:t>OpenALPR es gratuito para estudio, pero su licencia AGPL condiciona su uso en productos cerrados y su documentación sugiere dependencias antiguas (OpenALPR, s. f.). Plate Recognizer ofrece un SDK local con requisitos claros de hardware, aunque exige licencia (Plate Recognizer, s. f.). SimpleLPR declara una exactitud de 85 % a 95 % en condiciones típicas, cifra del proveedor que no fue verificada, y cubre la placa de motos colombiana (WareLogic, 2026).</w:t>
      </w:r>
    </w:p>
    <w:p>
      <w:pPr>
        <w:keepNext/>
        <w:widowControl/>
        <w:spacing w:lineRule="auto" w:line="480" w:before="0" w:after="0"/>
        <w:jc w:val="center"/>
      </w:pPr>
      <w:r>
        <w:rPr>
          <w:rFonts w:ascii="Times New Roman" w:hAnsi="Times New Roman" w:cs="Times New Roman" w:eastAsia="Times New Roman"/>
          <w:b/>
          <w:i w:val="0"/>
          <w:sz w:val="24"/>
        </w:rPr>
        <w:t>Recomendación preliminar</w:t>
      </w:r>
    </w:p>
    <w:p>
      <w:pPr>
        <w:keepNext w:val="0"/>
        <w:widowControl/>
        <w:spacing w:lineRule="auto" w:line="480" w:before="0" w:after="0"/>
        <w:ind w:firstLine="720"/>
        <w:jc w:val="left"/>
      </w:pPr>
      <w:r>
        <w:rPr>
          <w:rFonts w:ascii="Times New Roman" w:hAnsi="Times New Roman" w:cs="Times New Roman" w:eastAsia="Times New Roman"/>
          <w:b w:val="0"/>
          <w:i w:val="0"/>
          <w:sz w:val="24"/>
        </w:rPr>
        <w:t>Para el prototipo académico no se necesita LPR: el simulador y el prototipo con Arduino identifican por tarjeta o por placa digitada. La lectura de placas queda como mejora futura; si se adoptara, la elección dependería de una prueba con imágenes propias, del presupuesto y de la licencia. Esta recomendación es del equipo y no ha sido validada con el docente.</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OpenALPR. (s. f.). </w:t>
      </w:r>
      <w:r>
        <w:rPr>
          <w:rFonts w:ascii="Times New Roman" w:hAnsi="Times New Roman" w:cs="Times New Roman" w:eastAsia="Times New Roman"/>
          <w:b w:val="0"/>
          <w:i/>
          <w:sz w:val="24"/>
        </w:rPr>
        <w:t>OpenALPR: Automatic License Plate Recognition library</w:t>
      </w:r>
      <w:r>
        <w:rPr>
          <w:rFonts w:ascii="Times New Roman" w:hAnsi="Times New Roman" w:cs="Times New Roman" w:eastAsia="Times New Roman"/>
          <w:b w:val="0"/>
          <w:i w:val="0"/>
          <w:sz w:val="24"/>
        </w:rPr>
        <w:t xml:space="preserve"> [Software; licencia AGPL-3.0]. GitHub. https://github.com/openalpr/openalpr</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Plate Recognizer. (s. f.). </w:t>
      </w:r>
      <w:r>
        <w:rPr>
          <w:rFonts w:ascii="Times New Roman" w:hAnsi="Times New Roman" w:cs="Times New Roman" w:eastAsia="Times New Roman"/>
          <w:b w:val="0"/>
          <w:i/>
          <w:sz w:val="24"/>
        </w:rPr>
        <w:t>Plate Recognizer Snapshot: Getting started</w:t>
      </w:r>
      <w:r>
        <w:rPr>
          <w:rFonts w:ascii="Times New Roman" w:hAnsi="Times New Roman" w:cs="Times New Roman" w:eastAsia="Times New Roman"/>
          <w:b w:val="0"/>
          <w:i w:val="0"/>
          <w:sz w:val="24"/>
        </w:rPr>
        <w:t xml:space="preserve"> [Documentación técnica]. https://guides.platerecognizer.com/docs/snapshot/getting-started</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WareLogic. (2026). </w:t>
      </w:r>
      <w:r>
        <w:rPr>
          <w:rFonts w:ascii="Times New Roman" w:hAnsi="Times New Roman" w:cs="Times New Roman" w:eastAsia="Times New Roman"/>
          <w:b w:val="0"/>
          <w:i/>
          <w:sz w:val="24"/>
        </w:rPr>
        <w:t>SimpleLPR</w:t>
      </w:r>
      <w:r>
        <w:rPr>
          <w:rFonts w:ascii="Times New Roman" w:hAnsi="Times New Roman" w:cs="Times New Roman" w:eastAsia="Times New Roman"/>
          <w:b w:val="0"/>
          <w:i w:val="0"/>
          <w:sz w:val="24"/>
        </w:rPr>
        <w:t xml:space="preserve"> (versión 3.6.4) [Software]. NuGet Gallery. https://packages.nuget.org/packages/SimpleLPR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Herramientas de Lectura Automática de Placas (LPR)</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