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widowControl/>
        <w:spacing w:lineRule="auto" w:line="480" w:before="0" w:after="0"/>
      </w:pPr>
    </w:p>
    <w:p>
      <w:pPr>
        <w:keepNext w:val="0"/>
        <w:widowControl/>
        <w:spacing w:lineRule="auto" w:line="480" w:before="0" w:after="0"/>
      </w:pPr>
    </w:p>
    <w:p>
      <w:pPr>
        <w:keepNext w:val="0"/>
        <w:widowControl/>
        <w:spacing w:lineRule="auto" w:line="480" w:before="0" w:after="0"/>
      </w:pPr>
    </w:p>
    <w:p>
      <w:pPr>
        <w:keepNext w:val="0"/>
        <w:widowControl/>
        <w:spacing w:lineRule="auto" w:line="480" w:before="0" w:after="0"/>
      </w:pPr>
    </w:p>
    <w:p>
      <w:pPr>
        <w:keepNext w:val="0"/>
        <w:widowControl/>
        <w:spacing w:lineRule="auto" w:line="480" w:before="0" w:after="0"/>
        <w:jc w:val="center"/>
      </w:pPr>
      <w:r>
        <w:rPr>
          <w:rFonts w:ascii="Times New Roman" w:hAnsi="Times New Roman" w:cs="Times New Roman" w:eastAsia="Times New Roman"/>
          <w:b/>
          <w:i w:val="0"/>
          <w:sz w:val="24"/>
        </w:rPr>
        <w:t>Comparación de Plataformas No-Code para C.I.S.P.P.H.</w:t>
      </w:r>
    </w:p>
    <w:p>
      <w:pPr>
        <w:keepNext w:val="0"/>
        <w:widowControl/>
        <w:spacing w:lineRule="auto" w:line="480" w:before="0" w:after="0"/>
      </w:pPr>
    </w:p>
    <w:p>
      <w:pPr>
        <w:keepNext w:val="0"/>
        <w:widowControl/>
        <w:spacing w:lineRule="auto" w:line="480" w:before="0" w:after="0"/>
        <w:jc w:val="center"/>
      </w:pPr>
      <w:r>
        <w:rPr>
          <w:rFonts w:ascii="Times New Roman" w:hAnsi="Times New Roman" w:cs="Times New Roman" w:eastAsia="Times New Roman"/>
          <w:b w:val="0"/>
          <w:i w:val="0"/>
          <w:sz w:val="24"/>
        </w:rPr>
        <w:t>Luis David Caicedo Rodríguez</w:t>
      </w:r>
    </w:p>
    <w:p>
      <w:pPr>
        <w:keepNext w:val="0"/>
        <w:widowControl/>
        <w:spacing w:lineRule="auto" w:line="480" w:before="0" w:after="0"/>
        <w:jc w:val="center"/>
      </w:pPr>
      <w:r>
        <w:rPr>
          <w:rFonts w:ascii="Times New Roman" w:hAnsi="Times New Roman" w:cs="Times New Roman" w:eastAsia="Times New Roman"/>
          <w:b w:val="0"/>
          <w:i w:val="0"/>
          <w:sz w:val="24"/>
        </w:rPr>
        <w:t>Edisson David Vargas Castiblanco</w:t>
      </w:r>
    </w:p>
    <w:p>
      <w:pPr>
        <w:keepNext w:val="0"/>
        <w:widowControl/>
        <w:spacing w:lineRule="auto" w:line="480" w:before="0" w:after="0"/>
        <w:jc w:val="center"/>
      </w:pPr>
      <w:r>
        <w:rPr>
          <w:rFonts w:ascii="Times New Roman" w:hAnsi="Times New Roman" w:cs="Times New Roman" w:eastAsia="Times New Roman"/>
          <w:b w:val="0"/>
          <w:i w:val="0"/>
          <w:sz w:val="24"/>
        </w:rPr>
        <w:t>Javier Santiago Pérez Tobon</w:t>
      </w:r>
    </w:p>
    <w:p>
      <w:pPr>
        <w:keepNext w:val="0"/>
        <w:widowControl/>
        <w:spacing w:lineRule="auto" w:line="480" w:before="0" w:after="0"/>
        <w:jc w:val="center"/>
      </w:pPr>
      <w:r>
        <w:rPr>
          <w:rFonts w:ascii="Times New Roman" w:hAnsi="Times New Roman" w:cs="Times New Roman" w:eastAsia="Times New Roman"/>
          <w:b w:val="0"/>
          <w:i w:val="0"/>
          <w:sz w:val="24"/>
        </w:rPr>
        <w:t>Escuela Tecnológica Instituto Técnico Central (ETITC)</w:t>
      </w:r>
    </w:p>
    <w:p>
      <w:pPr>
        <w:keepNext w:val="0"/>
        <w:widowControl/>
        <w:spacing w:lineRule="auto" w:line="480" w:before="0" w:after="0"/>
        <w:jc w:val="center"/>
      </w:pPr>
      <w:r>
        <w:rPr>
          <w:rFonts w:ascii="Times New Roman" w:hAnsi="Times New Roman" w:cs="Times New Roman" w:eastAsia="Times New Roman"/>
          <w:b w:val="0"/>
          <w:i w:val="0"/>
          <w:sz w:val="24"/>
        </w:rPr>
        <w:t>Tecnología en Desarrollo de Software</w:t>
      </w:r>
    </w:p>
    <w:p>
      <w:pPr>
        <w:keepNext w:val="0"/>
        <w:widowControl/>
        <w:spacing w:lineRule="auto" w:line="480" w:before="0" w:after="0"/>
        <w:jc w:val="center"/>
      </w:pPr>
      <w:r>
        <w:rPr>
          <w:rFonts w:ascii="Times New Roman" w:hAnsi="Times New Roman" w:cs="Times New Roman" w:eastAsia="Times New Roman"/>
          <w:b w:val="0"/>
          <w:i w:val="0"/>
          <w:sz w:val="24"/>
        </w:rPr>
        <w:t>Diseño de Software I</w:t>
      </w:r>
    </w:p>
    <w:p>
      <w:pPr>
        <w:keepNext w:val="0"/>
        <w:widowControl/>
        <w:spacing w:lineRule="auto" w:line="480" w:before="0" w:after="0"/>
        <w:jc w:val="center"/>
      </w:pPr>
      <w:r>
        <w:rPr>
          <w:rFonts w:ascii="Times New Roman" w:hAnsi="Times New Roman" w:cs="Times New Roman" w:eastAsia="Times New Roman"/>
          <w:b w:val="0"/>
          <w:i w:val="0"/>
          <w:sz w:val="24"/>
        </w:rPr>
        <w:t>José Del Carmen Ortega Castro</w:t>
      </w:r>
    </w:p>
    <w:p>
      <w:pPr>
        <w:keepNext w:val="0"/>
        <w:widowControl/>
        <w:spacing w:lineRule="auto" w:line="480" w:before="0" w:after="0"/>
        <w:jc w:val="center"/>
      </w:pPr>
      <w:r>
        <w:rPr>
          <w:rFonts w:ascii="Times New Roman" w:hAnsi="Times New Roman" w:cs="Times New Roman" w:eastAsia="Times New Roman"/>
          <w:b w:val="0"/>
          <w:i w:val="0"/>
          <w:sz w:val="24"/>
        </w:rPr>
        <w:t>26 de octubre de 2026</w:t>
      </w:r>
    </w:p>
    <w:p>
      <w:pPr>
        <w:keepNext w:val="0"/>
        <w:widowControl/>
        <w:spacing w:lineRule="auto" w:line="240" w:before="0" w:after="0"/>
      </w:pPr>
      <w:r>
        <w:br w:type="page"/>
      </w:r>
    </w:p>
    <w:p>
      <w:pPr>
        <w:keepNext/>
        <w:widowControl/>
        <w:spacing w:lineRule="auto" w:line="480" w:before="0" w:after="0"/>
        <w:jc w:val="center"/>
      </w:pPr>
      <w:r>
        <w:rPr>
          <w:rFonts w:ascii="Times New Roman" w:hAnsi="Times New Roman" w:cs="Times New Roman" w:eastAsia="Times New Roman"/>
          <w:b/>
          <w:i w:val="0"/>
          <w:sz w:val="24"/>
        </w:rPr>
        <w:t>Comparación de Plataformas No-Code para C.I.S.P.P.H.</w:t>
      </w:r>
    </w:p>
    <w:p>
      <w:pPr>
        <w:keepNext/>
        <w:widowControl/>
        <w:spacing w:lineRule="auto" w:line="480" w:before="0" w:after="0"/>
        <w:jc w:val="left"/>
      </w:pPr>
      <w:r>
        <w:rPr>
          <w:rFonts w:ascii="Times New Roman" w:hAnsi="Times New Roman" w:cs="Times New Roman" w:eastAsia="Times New Roman"/>
          <w:b/>
          <w:i w:val="0"/>
          <w:sz w:val="24"/>
        </w:rPr>
        <w:t>Nota de alcance</w:t>
      </w:r>
    </w:p>
    <w:p>
      <w:pPr>
        <w:keepNext w:val="0"/>
        <w:widowControl/>
        <w:spacing w:lineRule="auto" w:line="480" w:before="0" w:after="0"/>
        <w:ind w:firstLine="720"/>
        <w:jc w:val="left"/>
      </w:pPr>
      <w:r>
        <w:rPr>
          <w:rFonts w:ascii="Times New Roman" w:hAnsi="Times New Roman" w:cs="Times New Roman" w:eastAsia="Times New Roman"/>
          <w:b w:val="0"/>
          <w:i w:val="0"/>
          <w:sz w:val="24"/>
        </w:rPr>
        <w:t>El Conjunto Residencial Robles del Norte P.H., su administración, el personal de vigilancia, los residentes y todas las cifras que aparecen en este documento son ficticios. Fueron construidos por el equipo con fines académicos, tomando como referencia la literatura sobre control de acceso vehicular y la Ley 675 de 2001. No existe un cliente real ni se realizaron entrevistas, encuestas ni observaciones con terceros. Toda afirmación sobre «el cliente» es una hipótesis de trabajo del caso ilustrativo. Para redactar y organizar este documento el equipo usó Claude (Anthropic) como herramienta de apoyo; las decisiones y la revisión final corresponden al equipo y al docente.</w:t>
      </w:r>
    </w:p>
    <w:p>
      <w:pPr>
        <w:keepNext/>
        <w:widowControl/>
        <w:spacing w:lineRule="auto" w:line="480" w:before="0" w:after="0"/>
        <w:jc w:val="center"/>
      </w:pPr>
      <w:r>
        <w:rPr>
          <w:rFonts w:ascii="Times New Roman" w:hAnsi="Times New Roman" w:cs="Times New Roman" w:eastAsia="Times New Roman"/>
          <w:b/>
          <w:i w:val="0"/>
          <w:sz w:val="24"/>
        </w:rPr>
        <w:t>Introducción</w:t>
      </w:r>
    </w:p>
    <w:p>
      <w:pPr>
        <w:keepNext w:val="0"/>
        <w:widowControl/>
        <w:spacing w:lineRule="auto" w:line="480" w:before="0" w:after="0"/>
        <w:ind w:firstLine="720"/>
        <w:jc w:val="left"/>
      </w:pPr>
      <w:r>
        <w:rPr>
          <w:rFonts w:ascii="Times New Roman" w:hAnsi="Times New Roman" w:cs="Times New Roman" w:eastAsia="Times New Roman"/>
          <w:b w:val="0"/>
          <w:i w:val="0"/>
          <w:sz w:val="24"/>
        </w:rPr>
        <w:t>Las plataformas no-code permiten construir aplicaciones con poca programación. Este documento compara tres plataformas frente a lo que C.I.S.P.P.H. necesita, sobre todo el control de acceso por rol (RF-007, RNF-001) y la protección de datos personales (RNF-002). El análisis es documental: no se construyó ninguna aplicación de prueba.</w:t>
      </w:r>
    </w:p>
    <w:p>
      <w:pPr>
        <w:keepNext/>
        <w:widowControl/>
        <w:spacing w:lineRule="auto" w:line="480" w:before="0" w:after="0"/>
        <w:jc w:val="center"/>
      </w:pPr>
      <w:r>
        <w:rPr>
          <w:rFonts w:ascii="Times New Roman" w:hAnsi="Times New Roman" w:cs="Times New Roman" w:eastAsia="Times New Roman"/>
          <w:b/>
          <w:i w:val="0"/>
          <w:sz w:val="24"/>
        </w:rPr>
        <w:t>Comparación</w:t>
      </w:r>
    </w:p>
    <w:p>
      <w:pPr>
        <w:keepNext/>
        <w:widowControl/>
        <w:spacing w:lineRule="auto" w:line="480" w:before="0" w:after="0"/>
        <w:jc w:val="left"/>
      </w:pPr>
      <w:r>
        <w:rPr>
          <w:rFonts w:ascii="Times New Roman" w:hAnsi="Times New Roman" w:cs="Times New Roman" w:eastAsia="Times New Roman"/>
          <w:b/>
          <w:i w:val="0"/>
          <w:sz w:val="24"/>
        </w:rPr>
        <w:t>Tabla 1</w:t>
      </w:r>
    </w:p>
    <w:p>
      <w:pPr>
        <w:keepNext/>
        <w:widowControl/>
        <w:spacing w:lineRule="auto" w:line="480" w:before="0" w:after="0"/>
        <w:jc w:val="left"/>
      </w:pPr>
      <w:r>
        <w:rPr>
          <w:rFonts w:ascii="Times New Roman" w:hAnsi="Times New Roman" w:cs="Times New Roman" w:eastAsia="Times New Roman"/>
          <w:b w:val="0"/>
          <w:i/>
          <w:sz w:val="24"/>
        </w:rPr>
        <w:t>Plataformas no-code frente a los requisitos</w:t>
      </w:r>
    </w:p>
    <w:tbl>
      <w:tblPr>
        <w:jc w:val="center"/>
        <w:tblLayout w:type="fixed"/>
        <w:tblLook w:firstColumn="1" w:firstRow="1" w:lastColumn="0" w:lastRow="0" w:noHBand="0" w:noVBand="1" w:val="04A0"/>
        <w:tblLayout w:type="fixed"/>
        <w:tblW w:w="9360" w:type="dxa"/>
      </w:tblPr>
      <w:tblGrid>
        <w:gridCol w:w="1728"/>
        <w:gridCol w:w="2592"/>
        <w:gridCol w:w="2592"/>
        <w:gridCol w:w="2448"/>
      </w:tblGrid>
      <w:tr>
        <w:trPr>
          <w:tblHeader w:val="true"/>
          <w:cantSplit w:val="true"/>
        </w:trPr>
        <w:tc>
          <w:tcPr>
            <w:tcW w:type="dxa" w:w="1728"/>
            <w:tcBorders>
              <w:top w:val="single" w:sz="8" w:color="000000" w:space="0"/>
              <w:left w:val="nil"/>
              <w:bottom w:val="single" w:sz="6" w:color="000000" w:space="0"/>
              <w:right w:val="nil"/>
            </w:tcBorders>
          </w:tcPr>
          <w:p>
            <w:pPr>
              <w:keepNext w:val="0"/>
              <w:widowControl/>
              <w:spacing w:lineRule="auto" w:line="240" w:before="40" w:after="40"/>
              <w:jc w:val="left"/>
            </w:pPr>
            <w:r>
              <w:rPr>
                <w:rFonts w:ascii="Times New Roman" w:hAnsi="Times New Roman" w:cs="Times New Roman" w:eastAsia="Times New Roman"/>
                <w:b/>
                <w:i w:val="0"/>
                <w:sz w:val="16"/>
              </w:rPr>
              <w:t>Criterio</w:t>
            </w:r>
          </w:p>
        </w:tc>
        <w:tc>
          <w:tcPr>
            <w:tcW w:type="dxa" w:w="2592"/>
            <w:tcBorders>
              <w:top w:val="single" w:sz="8" w:color="000000" w:space="0"/>
              <w:left w:val="nil"/>
              <w:bottom w:val="single" w:sz="6" w:color="000000" w:space="0"/>
              <w:right w:val="nil"/>
            </w:tcBorders>
          </w:tcPr>
          <w:p>
            <w:pPr>
              <w:keepNext w:val="0"/>
              <w:widowControl/>
              <w:spacing w:lineRule="auto" w:line="240" w:before="40" w:after="40"/>
              <w:jc w:val="left"/>
            </w:pPr>
            <w:r>
              <w:rPr>
                <w:rFonts w:ascii="Times New Roman" w:hAnsi="Times New Roman" w:cs="Times New Roman" w:eastAsia="Times New Roman"/>
                <w:b/>
                <w:i w:val="0"/>
                <w:sz w:val="16"/>
              </w:rPr>
              <w:t>Softr</w:t>
            </w:r>
          </w:p>
        </w:tc>
        <w:tc>
          <w:tcPr>
            <w:tcW w:type="dxa" w:w="2592"/>
            <w:tcBorders>
              <w:top w:val="single" w:sz="8" w:color="000000" w:space="0"/>
              <w:left w:val="nil"/>
              <w:bottom w:val="single" w:sz="6" w:color="000000" w:space="0"/>
              <w:right w:val="nil"/>
            </w:tcBorders>
          </w:tcPr>
          <w:p>
            <w:pPr>
              <w:keepNext w:val="0"/>
              <w:widowControl/>
              <w:spacing w:lineRule="auto" w:line="240" w:before="40" w:after="40"/>
              <w:jc w:val="left"/>
            </w:pPr>
            <w:r>
              <w:rPr>
                <w:rFonts w:ascii="Times New Roman" w:hAnsi="Times New Roman" w:cs="Times New Roman" w:eastAsia="Times New Roman"/>
                <w:b/>
                <w:i w:val="0"/>
                <w:sz w:val="16"/>
              </w:rPr>
              <w:t>Bubble</w:t>
            </w:r>
          </w:p>
        </w:tc>
        <w:tc>
          <w:tcPr>
            <w:tcW w:type="dxa" w:w="2448"/>
            <w:tcBorders>
              <w:top w:val="single" w:sz="8" w:color="000000" w:space="0"/>
              <w:left w:val="nil"/>
              <w:bottom w:val="single" w:sz="6" w:color="000000" w:space="0"/>
              <w:right w:val="nil"/>
            </w:tcBorders>
          </w:tcPr>
          <w:p>
            <w:pPr>
              <w:keepNext w:val="0"/>
              <w:widowControl/>
              <w:spacing w:lineRule="auto" w:line="240" w:before="40" w:after="40"/>
              <w:jc w:val="left"/>
            </w:pPr>
            <w:r>
              <w:rPr>
                <w:rFonts w:ascii="Times New Roman" w:hAnsi="Times New Roman" w:cs="Times New Roman" w:eastAsia="Times New Roman"/>
                <w:b/>
                <w:i w:val="0"/>
                <w:sz w:val="16"/>
              </w:rPr>
              <w:t>FlutterFlow</w:t>
            </w:r>
          </w:p>
        </w:tc>
      </w:tr>
      <w:tr>
        <w:trPr>
          <w:cantSplit w:val="true"/>
        </w:trPr>
        <w:tc>
          <w:tcPr>
            <w:tcW w:type="dxa" w:w="1728"/>
            <w:tcBorders>
              <w:top w:val="single" w:sz="6" w:color="000000" w:space="0"/>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Control de acceso</w:t>
            </w:r>
          </w:p>
        </w:tc>
        <w:tc>
          <w:tcPr>
            <w:tcW w:type="dxa" w:w="2592"/>
            <w:tcBorders>
              <w:top w:val="single" w:sz="6" w:color="000000" w:space="0"/>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Grupos de usuarios y permisos por página, bloque y acción; restricciones de datos a nivel de registro; las de nivel de campo figuran como «próximamente»</w:t>
            </w:r>
          </w:p>
        </w:tc>
        <w:tc>
          <w:tcPr>
            <w:tcW w:type="dxa" w:w="2592"/>
            <w:tcBorders>
              <w:top w:val="single" w:sz="6" w:color="000000" w:space="0"/>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Reglas de privacidad que restringen el acceso a datos personales, según su manual</w:t>
            </w:r>
          </w:p>
        </w:tc>
        <w:tc>
          <w:tcPr>
            <w:tcW w:type="dxa" w:w="2448"/>
            <w:tcBorders>
              <w:top w:val="single" w:sz="6" w:color="000000" w:space="0"/>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Autenticación con Firebase, Supabase o personalizada; el control de acceso detallado depende de cada servicio</w:t>
            </w:r>
          </w:p>
        </w:tc>
      </w:tr>
      <w:tr>
        <w:trPr>
          <w:cantSplit w:val="true"/>
        </w:trPr>
        <w:tc>
          <w:tcPr>
            <w:tcW w:type="dxa" w:w="1728"/>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Limitaciones documentadas</w:t>
            </w:r>
          </w:p>
        </w:tc>
        <w:tc>
          <w:tcPr>
            <w:tcW w:type="dxa" w:w="2592"/>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Grupos personalizados y permisos de acción requieren planes Professional, Business o Enterprise</w:t>
            </w:r>
          </w:p>
        </w:tc>
        <w:tc>
          <w:tcPr>
            <w:tcW w:type="dxa" w:w="2592"/>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El cumplimiento de la ley es responsabilidad de quien desarrolla la aplicación</w:t>
            </w:r>
          </w:p>
        </w:tc>
        <w:tc>
          <w:tcPr>
            <w:tcW w:type="dxa" w:w="2448"/>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La página consultada solo describe la configuración inicial</w:t>
            </w:r>
          </w:p>
        </w:tc>
      </w:tr>
      <w:tr>
        <w:trPr>
          <w:cantSplit w:val="true"/>
        </w:trPr>
        <w:tc>
          <w:tcPr>
            <w:tcW w:type="dxa" w:w="1728"/>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Datos personales</w:t>
            </w:r>
          </w:p>
        </w:tc>
        <w:tc>
          <w:tcPr>
            <w:tcW w:type="dxa" w:w="2592"/>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No tratado en la página consultada</w:t>
            </w:r>
          </w:p>
        </w:tc>
        <w:tc>
          <w:tcPr>
            <w:tcW w:type="dxa" w:w="2592"/>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Bubble actúa como encargado y el desarrollador probablemente como responsable del tratamiento</w:t>
            </w:r>
          </w:p>
        </w:tc>
        <w:tc>
          <w:tcPr>
            <w:tcW w:type="dxa" w:w="2448"/>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No tratado en la página consultada</w:t>
            </w:r>
          </w:p>
        </w:tc>
      </w:tr>
      <w:tr>
        <w:trPr>
          <w:cantSplit w:val="true"/>
        </w:trPr>
        <w:tc>
          <w:tcPr>
            <w:tcW w:type="dxa" w:w="1728"/>
            <w:tcBorders>
              <w:top w:val="nil"/>
              <w:left w:val="nil"/>
              <w:bottom w:val="single" w:sz="8" w:color="000000" w:space="0"/>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Fuente</w:t>
            </w:r>
          </w:p>
        </w:tc>
        <w:tc>
          <w:tcPr>
            <w:tcW w:type="dxa" w:w="2592"/>
            <w:tcBorders>
              <w:top w:val="nil"/>
              <w:left w:val="nil"/>
              <w:bottom w:val="single" w:sz="8" w:color="000000" w:space="0"/>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Softr (s. f.)</w:t>
            </w:r>
          </w:p>
        </w:tc>
        <w:tc>
          <w:tcPr>
            <w:tcW w:type="dxa" w:w="2592"/>
            <w:tcBorders>
              <w:top w:val="nil"/>
              <w:left w:val="nil"/>
              <w:bottom w:val="single" w:sz="8" w:color="000000" w:space="0"/>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Bubble (s. f.)</w:t>
            </w:r>
          </w:p>
        </w:tc>
        <w:tc>
          <w:tcPr>
            <w:tcW w:type="dxa" w:w="2448"/>
            <w:tcBorders>
              <w:top w:val="nil"/>
              <w:left w:val="nil"/>
              <w:bottom w:val="single" w:sz="8" w:color="000000" w:space="0"/>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FlutterFlow (s. f.)</w:t>
            </w:r>
          </w:p>
        </w:tc>
      </w:tr>
    </w:tbl>
    <w:p>
      <w:pPr>
        <w:keepNext w:val="0"/>
        <w:widowControl/>
        <w:spacing w:lineRule="auto" w:line="240" w:before="80" w:after="200"/>
        <w:jc w:val="left"/>
      </w:pPr>
      <w:r>
        <w:rPr>
          <w:rFonts w:ascii="Times New Roman" w:hAnsi="Times New Roman" w:cs="Times New Roman" w:eastAsia="Times New Roman"/>
          <w:i/>
          <w:sz w:val="20"/>
        </w:rPr>
        <w:t xml:space="preserve">Nota. </w:t>
      </w:r>
      <w:r>
        <w:rPr>
          <w:rFonts w:ascii="Times New Roman" w:hAnsi="Times New Roman" w:cs="Times New Roman" w:eastAsia="Times New Roman"/>
          <w:b w:val="0"/>
          <w:i w:val="0"/>
          <w:sz w:val="20"/>
        </w:rPr>
        <w:t>Elaboración propia. El manual de Bubble trata el GDPR europeo, no la Ley 1581 de 2012.</w:t>
      </w:r>
    </w:p>
    <w:p>
      <w:pPr>
        <w:keepNext/>
        <w:widowControl/>
        <w:spacing w:lineRule="auto" w:line="480" w:before="0" w:after="0"/>
        <w:jc w:val="center"/>
      </w:pPr>
      <w:r>
        <w:rPr>
          <w:rFonts w:ascii="Times New Roman" w:hAnsi="Times New Roman" w:cs="Times New Roman" w:eastAsia="Times New Roman"/>
          <w:b/>
          <w:i w:val="0"/>
          <w:sz w:val="24"/>
        </w:rPr>
        <w:t>Análisis</w:t>
      </w:r>
    </w:p>
    <w:p>
      <w:pPr>
        <w:keepNext w:val="0"/>
        <w:widowControl/>
        <w:spacing w:lineRule="auto" w:line="480" w:before="0" w:after="0"/>
        <w:ind w:firstLine="720"/>
        <w:jc w:val="left"/>
      </w:pPr>
      <w:r>
        <w:rPr>
          <w:rFonts w:ascii="Times New Roman" w:hAnsi="Times New Roman" w:cs="Times New Roman" w:eastAsia="Times New Roman"/>
          <w:b w:val="0"/>
          <w:i w:val="0"/>
          <w:sz w:val="24"/>
        </w:rPr>
        <w:t>Ninguna de las tres plataformas resuelve por sí sola las obligaciones colombianas sobre datos personales; en el caso de Bubble, su manual aclara que el cumplimiento de la plataforma no hace que la aplicación cumpla automáticamente (Bubble, s. f.). Softr cubre bien la separación por grupos que pide RF-007, pero los permisos de acción exigen planes pagos (Softr, s. f.). FlutterFlow depende del servicio de autenticación elegido (FlutterFlow, s. f.).</w:t>
      </w:r>
    </w:p>
    <w:p>
      <w:pPr>
        <w:keepNext/>
        <w:widowControl/>
        <w:spacing w:lineRule="auto" w:line="480" w:before="0" w:after="0"/>
        <w:jc w:val="center"/>
      </w:pPr>
      <w:r>
        <w:rPr>
          <w:rFonts w:ascii="Times New Roman" w:hAnsi="Times New Roman" w:cs="Times New Roman" w:eastAsia="Times New Roman"/>
          <w:b/>
          <w:i w:val="0"/>
          <w:sz w:val="24"/>
        </w:rPr>
        <w:t>Decisión</w:t>
      </w:r>
    </w:p>
    <w:p>
      <w:pPr>
        <w:keepNext w:val="0"/>
        <w:widowControl/>
        <w:spacing w:lineRule="auto" w:line="480" w:before="0" w:after="0"/>
        <w:ind w:firstLine="720"/>
        <w:jc w:val="left"/>
      </w:pPr>
      <w:r>
        <w:rPr>
          <w:rFonts w:ascii="Times New Roman" w:hAnsi="Times New Roman" w:cs="Times New Roman" w:eastAsia="Times New Roman"/>
          <w:b w:val="0"/>
          <w:i w:val="0"/>
          <w:sz w:val="24"/>
        </w:rPr>
        <w:t>El proyecto se implementa como simulador en Godot y prototipo con Arduino, no con no-code, porque el alcance del proyecto es el diseño del software y su prototipo. Las plataformas no-code quedan registradas como alternativa de comparación exigida por el curso, sin que se haya construido nada con ellas.</w:t>
      </w:r>
    </w:p>
    <w:p>
      <w:pPr>
        <w:keepNext w:val="0"/>
        <w:widowControl/>
        <w:spacing w:lineRule="auto" w:line="240" w:before="0" w:after="0"/>
      </w:pPr>
      <w:r>
        <w:br w:type="page"/>
      </w:r>
    </w:p>
    <w:p>
      <w:pPr>
        <w:keepNext/>
        <w:widowControl/>
        <w:spacing w:lineRule="auto" w:line="480" w:before="0" w:after="0"/>
        <w:jc w:val="center"/>
      </w:pPr>
      <w:r>
        <w:rPr>
          <w:rFonts w:ascii="Times New Roman" w:hAnsi="Times New Roman" w:cs="Times New Roman" w:eastAsia="Times New Roman"/>
          <w:b/>
          <w:i w:val="0"/>
          <w:sz w:val="24"/>
        </w:rPr>
        <w:t>Referencias</w:t>
      </w:r>
    </w:p>
    <w:p>
      <w:pPr>
        <w:keepNext w:val="0"/>
        <w:widowControl/>
        <w:spacing w:lineRule="auto" w:line="480" w:before="0" w:after="0"/>
        <w:ind w:left="720" w:hanging="720"/>
        <w:jc w:val="left"/>
      </w:pPr>
      <w:r>
        <w:rPr>
          <w:rFonts w:ascii="Times New Roman" w:hAnsi="Times New Roman" w:cs="Times New Roman" w:eastAsia="Times New Roman"/>
          <w:b w:val="0"/>
          <w:i w:val="0"/>
          <w:sz w:val="24"/>
        </w:rPr>
        <w:t xml:space="preserve">Bubble. (s. f.). </w:t>
      </w:r>
      <w:r>
        <w:rPr>
          <w:rFonts w:ascii="Times New Roman" w:hAnsi="Times New Roman" w:cs="Times New Roman" w:eastAsia="Times New Roman"/>
          <w:b w:val="0"/>
          <w:i/>
          <w:sz w:val="24"/>
        </w:rPr>
        <w:t>GDPR</w:t>
      </w:r>
      <w:r>
        <w:rPr>
          <w:rFonts w:ascii="Times New Roman" w:hAnsi="Times New Roman" w:cs="Times New Roman" w:eastAsia="Times New Roman"/>
          <w:b w:val="0"/>
          <w:i w:val="0"/>
          <w:sz w:val="24"/>
        </w:rPr>
        <w:t xml:space="preserve"> [Manual]. https://manual.bubble.io/help-guides/infrastructure/compliance/gdpr</w:t>
      </w:r>
    </w:p>
    <w:p>
      <w:pPr>
        <w:keepNext w:val="0"/>
        <w:widowControl/>
        <w:spacing w:lineRule="auto" w:line="480" w:before="0" w:after="0"/>
        <w:ind w:left="720" w:hanging="720"/>
        <w:jc w:val="left"/>
      </w:pPr>
      <w:r>
        <w:rPr>
          <w:rFonts w:ascii="Times New Roman" w:hAnsi="Times New Roman" w:cs="Times New Roman" w:eastAsia="Times New Roman"/>
          <w:b w:val="0"/>
          <w:i w:val="0"/>
          <w:sz w:val="24"/>
        </w:rPr>
        <w:t xml:space="preserve">FlutterFlow. (s. f.). </w:t>
      </w:r>
      <w:r>
        <w:rPr>
          <w:rFonts w:ascii="Times New Roman" w:hAnsi="Times New Roman" w:cs="Times New Roman" w:eastAsia="Times New Roman"/>
          <w:b w:val="0"/>
          <w:i/>
          <w:sz w:val="24"/>
        </w:rPr>
        <w:t>Authentication types</w:t>
      </w:r>
      <w:r>
        <w:rPr>
          <w:rFonts w:ascii="Times New Roman" w:hAnsi="Times New Roman" w:cs="Times New Roman" w:eastAsia="Times New Roman"/>
          <w:b w:val="0"/>
          <w:i w:val="0"/>
          <w:sz w:val="24"/>
        </w:rPr>
        <w:t xml:space="preserve"> [Documentación]. https://docs.flutterflow.io/integrations/authentication-types</w:t>
      </w:r>
    </w:p>
    <w:p>
      <w:pPr>
        <w:keepNext w:val="0"/>
        <w:widowControl/>
        <w:spacing w:lineRule="auto" w:line="480" w:before="0" w:after="0"/>
        <w:ind w:left="720" w:hanging="720"/>
        <w:jc w:val="left"/>
      </w:pPr>
      <w:r>
        <w:rPr>
          <w:rFonts w:ascii="Times New Roman" w:hAnsi="Times New Roman" w:cs="Times New Roman" w:eastAsia="Times New Roman"/>
          <w:b w:val="0"/>
          <w:i w:val="0"/>
          <w:sz w:val="24"/>
        </w:rPr>
        <w:t xml:space="preserve">Softr. (s. f.). </w:t>
      </w:r>
      <w:r>
        <w:rPr>
          <w:rFonts w:ascii="Times New Roman" w:hAnsi="Times New Roman" w:cs="Times New Roman" w:eastAsia="Times New Roman"/>
          <w:b w:val="0"/>
          <w:i/>
          <w:sz w:val="24"/>
        </w:rPr>
        <w:t>User groups &amp; permissions</w:t>
      </w:r>
      <w:r>
        <w:rPr>
          <w:rFonts w:ascii="Times New Roman" w:hAnsi="Times New Roman" w:cs="Times New Roman" w:eastAsia="Times New Roman"/>
          <w:b w:val="0"/>
          <w:i w:val="0"/>
          <w:sz w:val="24"/>
        </w:rPr>
        <w:t xml:space="preserve"> [Documentación]. https://docs.softr.io/core-concepts-overview/user-groups--permissions</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s="Times New Roman" w:eastAsia="Times New Roman"/>
        <w:sz w:val="24"/>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Comparación de Plataformas No-Code para C.I.S.P.P.H.</dc:title>
  <dc:subject>C.I.S.P.P.H. – Diseño de Software I</dc:subject>
  <dc:creator>Luis David Caicedo Rodríguez; Edisson David Vargas Castiblanco; Javier Santiago Pérez Tobon</dc:creator>
  <cp:keywords/>
  <dc:description>generated by python-docx</dc:description>
  <cp:lastModifiedBy/>
  <cp:revision>1</cp:revision>
  <dcterms:created xsi:type="dcterms:W3CDTF">2013-12-23T23:15:00Z</dcterms:created>
  <dcterms:modified xsi:type="dcterms:W3CDTF">2013-12-23T23:15:00Z</dcterms:modified>
  <cp:category/>
</cp:coreProperties>
</file>