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Modelo Entidad-Relación y Diccionario de Datos</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Modelo Entidad-Relación y Diccionario de Datos</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Este documento define las entidades que debe guardar C.I.S.P.P.H. y sus relaciones. Se tomó como base la estructura de datos del simulador, que hoy persiste en un archivo JSON, y se normalizó a un esquema relacional para el caso de una base de datos real. Los datos personales se limitan a lo necesario (Congreso de Colombia, 2012).</w:t>
      </w:r>
    </w:p>
    <w:p>
      <w:pPr>
        <w:keepNext/>
        <w:widowControl/>
        <w:spacing w:lineRule="auto" w:line="480" w:before="0" w:after="0"/>
        <w:jc w:val="center"/>
      </w:pPr>
      <w:r>
        <w:rPr>
          <w:rFonts w:ascii="Times New Roman" w:hAnsi="Times New Roman" w:cs="Times New Roman" w:eastAsia="Times New Roman"/>
          <w:b/>
          <w:i w:val="0"/>
          <w:sz w:val="24"/>
        </w:rPr>
        <w:t>Diagrama entidad-relación</w:t>
      </w:r>
    </w:p>
    <w:p>
      <w:pPr>
        <w:keepNext/>
        <w:widowControl/>
        <w:spacing w:lineRule="auto" w:line="480" w:before="0" w:after="0"/>
        <w:jc w:val="left"/>
      </w:pPr>
      <w:r>
        <w:rPr>
          <w:rFonts w:ascii="Times New Roman" w:hAnsi="Times New Roman" w:cs="Times New Roman" w:eastAsia="Times New Roman"/>
          <w:b/>
          <w:i w:val="0"/>
          <w:sz w:val="24"/>
        </w:rPr>
        <w:t>Figura 1</w:t>
      </w:r>
    </w:p>
    <w:p>
      <w:pPr>
        <w:keepNext/>
        <w:widowControl/>
        <w:spacing w:lineRule="auto" w:line="480" w:before="0" w:after="0"/>
        <w:jc w:val="left"/>
      </w:pPr>
      <w:r>
        <w:rPr>
          <w:rFonts w:ascii="Times New Roman" w:hAnsi="Times New Roman" w:cs="Times New Roman" w:eastAsia="Times New Roman"/>
          <w:b w:val="0"/>
          <w:i/>
          <w:sz w:val="24"/>
        </w:rPr>
        <w:t>Modelo entidad-relación</w:t>
      </w:r>
    </w:p>
    <w:p>
      <w:pPr>
        <w:keepNext/>
        <w:widowControl/>
        <w:spacing w:lineRule="auto" w:line="240" w:before="0" w:after="0"/>
        <w:jc w:val="center"/>
      </w:pPr>
      <w:r>
        <w:drawing>
          <wp:inline xmlns:a="http://schemas.openxmlformats.org/drawingml/2006/main" xmlns:pic="http://schemas.openxmlformats.org/drawingml/2006/picture">
            <wp:extent cx="4754880" cy="4133707"/>
            <wp:docPr id="1" name="Picture 1"/>
            <wp:cNvGraphicFramePr>
              <a:graphicFrameLocks noChangeAspect="1"/>
            </wp:cNvGraphicFramePr>
            <a:graphic>
              <a:graphicData uri="http://schemas.openxmlformats.org/drawingml/2006/picture">
                <pic:pic>
                  <pic:nvPicPr>
                    <pic:cNvPr id="0" name="er.png"/>
                    <pic:cNvPicPr/>
                  </pic:nvPicPr>
                  <pic:blipFill>
                    <a:blip r:embed="rId10"/>
                    <a:stretch>
                      <a:fillRect/>
                    </a:stretch>
                  </pic:blipFill>
                  <pic:spPr>
                    <a:xfrm>
                      <a:off x="0" y="0"/>
                      <a:ext cx="4754880" cy="4133707"/>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Diccionario de datos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Diccionario de datos</w:t>
      </w:r>
    </w:p>
    <w:tbl>
      <w:tblPr>
        <w:jc w:val="center"/>
        <w:tblLayout w:type="fixed"/>
        <w:tblLook w:firstColumn="1" w:firstRow="1" w:lastColumn="0" w:lastRow="0" w:noHBand="0" w:noVBand="1" w:val="04A0"/>
        <w:tblLayout w:type="fixed"/>
        <w:tblW w:w="9360" w:type="dxa"/>
      </w:tblPr>
      <w:tblGrid>
        <w:gridCol w:w="1728"/>
        <w:gridCol w:w="2015"/>
        <w:gridCol w:w="1728"/>
        <w:gridCol w:w="3888"/>
      </w:tblGrid>
      <w:tr>
        <w:trPr>
          <w:tblHeader w:val="true"/>
          <w:cantSplit w:val="true"/>
        </w:trPr>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Entidad</w:t>
            </w:r>
          </w:p>
        </w:tc>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Atributo</w:t>
            </w:r>
          </w:p>
        </w:tc>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Tipo</w:t>
            </w:r>
          </w:p>
        </w:tc>
        <w:tc>
          <w:tcPr>
            <w:tcW w:type="dxa" w:w="388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Descripción</w:t>
            </w:r>
          </w:p>
        </w:tc>
      </w:tr>
      <w:tr>
        <w:trPr>
          <w:cantSplit w:val="true"/>
        </w:trPr>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USUARIO</w:t>
            </w:r>
          </w:p>
        </w:tc>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id</w:t>
            </w:r>
          </w:p>
        </w:tc>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entero (PK)</w:t>
            </w:r>
          </w:p>
        </w:tc>
        <w:tc>
          <w:tcPr>
            <w:tcW w:type="dxa" w:w="388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Identificador único</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USUARIO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rol</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residente, trabajador o visitante</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USUARIO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cedula</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 (único)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Documento de identidad; dato personal</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USUARIO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vip</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booleano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Trato diferenciado definido por la administración</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USUARIO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activo</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booleano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Si el registro está vigente</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VEHICULO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placa</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 (PK)</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Placa del vehículo</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VEHICULO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id_usuario</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entero (FK)</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Responsable del vehículo</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PUESTO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codigo</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 (PK)</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R-xx para residentes, V-xx para visitantes</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PUESTO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id_usuario_asignado</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entero (FK)</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Residente a quien se asignó, si aplica</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AUTORIZACION</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autorizado_por</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Quien autorizó a la visita</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AUTORIZACION</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activa</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booleano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Si la autorización sigue vigente</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MOVIMIENTO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sentido</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Entrada o Salida</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MOVIMIENTO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decision</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permitido o denegado</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MOVIMIENTO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fecha</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fecha-hora</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Momento del registro</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MOVIMIENTO</w:t>
            </w:r>
          </w:p>
        </w:tc>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registrado_por</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w:t>
            </w:r>
          </w:p>
        </w:tc>
        <w:tc>
          <w:tcPr>
            <w:tcW w:type="dxa" w:w="38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Usuario que registró (RNF-006)</w:t>
            </w:r>
          </w:p>
        </w:tc>
      </w:tr>
      <w:tr>
        <w:trPr>
          <w:cantSplit w:val="true"/>
        </w:trPr>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ADMIN</w:t>
            </w:r>
          </w:p>
        </w:tc>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hash_clave</w:t>
            </w:r>
          </w:p>
        </w:tc>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texto</w:t>
            </w:r>
          </w:p>
        </w:tc>
        <w:tc>
          <w:tcPr>
            <w:tcW w:type="dxa" w:w="388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Clave almacenada como resumen, no en texto plano (RNF-002)</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Reglas de integridad</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Una placa y una cédula no pueden repetirse.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puesto de residente se asigna a un solo residente; los puestos de visitantes no se asignan de forma exclusiva (Congreso de Colombia, 2001).</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movimiento de salida solo es válido si existe un ingreso abierto para ese usuario.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(2001, 3 de agosto). </w:t>
      </w:r>
      <w:r>
        <w:rPr>
          <w:rFonts w:ascii="Times New Roman" w:hAnsi="Times New Roman" w:cs="Times New Roman" w:eastAsia="Times New Roman"/>
          <w:b w:val="0"/>
          <w:i/>
          <w:sz w:val="24"/>
        </w:rPr>
        <w:t>Ley 675 de 2001: Por medio de la cual se expide el régimen de propiedad horizontal</w:t>
      </w:r>
      <w:r>
        <w:rPr>
          <w:rFonts w:ascii="Times New Roman" w:hAnsi="Times New Roman" w:cs="Times New Roman" w:eastAsia="Times New Roman"/>
          <w:b w:val="0"/>
          <w:i w:val="0"/>
          <w:sz w:val="24"/>
        </w:rPr>
        <w:t>. Diario Oficial n.º 44.509. https://normas.cra.gov.co/gestor/docs/ley_0675_2001.htm</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Entidad-Relación y Diccionario de Datos</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