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Descripción del Diseño del Software (SDD)</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Descripción del Diseño del Software (SDD)</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Este documento describe el diseño del sistema siguiendo la estructura de la norma IEEE 1016: identifica los interesados y sus preocupaciones, las vistas de diseño y las decisiones tomadas (IEEE, 2009).</w:t>
      </w:r>
    </w:p>
    <w:p>
      <w:pPr>
        <w:keepNext/>
        <w:widowControl/>
        <w:spacing w:lineRule="auto" w:line="480" w:before="0" w:after="0"/>
        <w:jc w:val="center"/>
      </w:pPr>
      <w:r>
        <w:rPr>
          <w:rFonts w:ascii="Times New Roman" w:hAnsi="Times New Roman" w:cs="Times New Roman" w:eastAsia="Times New Roman"/>
          <w:b/>
          <w:i w:val="0"/>
          <w:sz w:val="24"/>
        </w:rPr>
        <w:t>Interesados y preocupaciones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Interesados y preocupaciones de diseño</w:t>
      </w:r>
    </w:p>
    <w:tbl>
      <w:tblPr>
        <w:jc w:val="center"/>
        <w:tblLayout w:type="fixed"/>
        <w:tblLook w:firstColumn="1" w:firstRow="1" w:lastColumn="0" w:lastRow="0" w:noHBand="0" w:noVBand="1" w:val="04A0"/>
        <w:tblLayout w:type="fixed"/>
        <w:tblW w:w="9360" w:type="dxa"/>
      </w:tblPr>
      <w:tblGrid>
        <w:gridCol w:w="1872"/>
        <w:gridCol w:w="3888"/>
        <w:gridCol w:w="3600"/>
      </w:tblGrid>
      <w:tr>
        <w:trPr>
          <w:tblHeader w:val="true"/>
          <w:cantSplit w:val="true"/>
        </w:trPr>
        <w:tc>
          <w:tcPr>
            <w:tcW w:type="dxa" w:w="187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Interesado</w:t>
            </w:r>
          </w:p>
        </w:tc>
        <w:tc>
          <w:tcPr>
            <w:tcW w:type="dxa" w:w="388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Preocupación</w:t>
            </w:r>
          </w:p>
        </w:tc>
        <w:tc>
          <w:tcPr>
            <w:tcW w:type="dxa" w:w="360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Vista que la atiende</w:t>
            </w:r>
          </w:p>
        </w:tc>
      </w:tr>
      <w:tr>
        <w:trPr>
          <w:cantSplit w:val="true"/>
        </w:trPr>
        <w:tc>
          <w:tcPr>
            <w:tcW w:type="dxa" w:w="187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Guarda</w:t>
            </w:r>
          </w:p>
        </w:tc>
        <w:tc>
          <w:tcPr>
            <w:tcW w:type="dxa" w:w="388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Registrar rápido y sin errores</w:t>
            </w:r>
          </w:p>
        </w:tc>
        <w:tc>
          <w:tcPr>
            <w:tcW w:type="dxa" w:w="360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Interfaz y actividad de ingreso</w:t>
            </w:r>
          </w:p>
        </w:tc>
      </w:tr>
      <w:tr>
        <w:trPr>
          <w:cantSplit w:val="true"/>
        </w:trPr>
        <w:tc>
          <w:tcPr>
            <w:tcW w:type="dxa" w:w="187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Administrador</w:t>
            </w:r>
          </w:p>
        </w:tc>
        <w:tc>
          <w:tcPr>
            <w:tcW w:type="dxa" w:w="388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Trazabilidad e información histórica</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Datos e historial</w:t>
            </w:r>
          </w:p>
        </w:tc>
      </w:tr>
      <w:tr>
        <w:trPr>
          <w:cantSplit w:val="true"/>
        </w:trPr>
        <w:tc>
          <w:tcPr>
            <w:tcW w:type="dxa" w:w="187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w:t>
            </w:r>
          </w:p>
        </w:tc>
        <w:tc>
          <w:tcPr>
            <w:tcW w:type="dxa" w:w="388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Diseño trazable y verificable</w:t>
            </w:r>
          </w:p>
        </w:tc>
        <w:tc>
          <w:tcPr>
            <w:tcW w:type="dxa" w:w="360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Matriz de trazabilidad</w:t>
            </w:r>
          </w:p>
        </w:tc>
      </w:tr>
    </w:tbl>
    <w:p>
      <w:pPr>
        <w:keepNext w:val="0"/>
        <w:widowControl/>
        <w:spacing w:lineRule="auto" w:line="240" w:before="0" w:after="120"/>
      </w:pPr>
    </w:p>
    <w:p>
      <w:pPr>
        <w:keepNext/>
        <w:widowControl/>
        <w:spacing w:lineRule="auto" w:line="480" w:before="0" w:after="0"/>
        <w:jc w:val="center"/>
      </w:pPr>
      <w:r>
        <w:rPr>
          <w:rFonts w:ascii="Times New Roman" w:hAnsi="Times New Roman" w:cs="Times New Roman" w:eastAsia="Times New Roman"/>
          <w:b/>
          <w:i w:val="0"/>
          <w:sz w:val="24"/>
        </w:rPr>
        <w:t>Vista de contexto</w:t>
      </w:r>
    </w:p>
    <w:p>
      <w:pPr>
        <w:keepNext w:val="0"/>
        <w:widowControl/>
        <w:spacing w:lineRule="auto" w:line="480" w:before="0" w:after="0"/>
        <w:ind w:firstLine="720"/>
        <w:jc w:val="left"/>
      </w:pPr>
      <w:r>
        <w:rPr>
          <w:rFonts w:ascii="Times New Roman" w:hAnsi="Times New Roman" w:cs="Times New Roman" w:eastAsia="Times New Roman"/>
          <w:b w:val="0"/>
          <w:i w:val="0"/>
          <w:sz w:val="24"/>
        </w:rPr>
        <w:t>El sistema recibe del guarda placas y decisiones, y del administrador datos maestros; entrega confirmaciones, disponibilidad e historial. No integra sistemas externos en esta versión.</w:t>
      </w:r>
    </w:p>
    <w:p>
      <w:pPr>
        <w:keepNext/>
        <w:widowControl/>
        <w:spacing w:lineRule="auto" w:line="480" w:before="0" w:after="0"/>
        <w:jc w:val="center"/>
      </w:pPr>
      <w:r>
        <w:rPr>
          <w:rFonts w:ascii="Times New Roman" w:hAnsi="Times New Roman" w:cs="Times New Roman" w:eastAsia="Times New Roman"/>
          <w:b/>
          <w:i w:val="0"/>
          <w:sz w:val="24"/>
        </w:rPr>
        <w:t>Vista de composición</w:t>
      </w:r>
    </w:p>
    <w:p>
      <w:pPr>
        <w:keepNext/>
        <w:widowControl/>
        <w:spacing w:lineRule="auto" w:line="480" w:before="0" w:after="0"/>
        <w:jc w:val="left"/>
      </w:pPr>
      <w:r>
        <w:rPr>
          <w:rFonts w:ascii="Times New Roman" w:hAnsi="Times New Roman" w:cs="Times New Roman" w:eastAsia="Times New Roman"/>
          <w:b/>
          <w:i w:val="0"/>
          <w:sz w:val="24"/>
        </w:rPr>
        <w:t>Figura 1</w:t>
      </w:r>
    </w:p>
    <w:p>
      <w:pPr>
        <w:keepNext/>
        <w:widowControl/>
        <w:spacing w:lineRule="auto" w:line="480" w:before="0" w:after="0"/>
        <w:jc w:val="left"/>
      </w:pPr>
      <w:r>
        <w:rPr>
          <w:rFonts w:ascii="Times New Roman" w:hAnsi="Times New Roman" w:cs="Times New Roman" w:eastAsia="Times New Roman"/>
          <w:b w:val="0"/>
          <w:i/>
          <w:sz w:val="24"/>
        </w:rPr>
        <w:t>Componentes del sistema</w:t>
      </w:r>
    </w:p>
    <w:p>
      <w:pPr>
        <w:keepNext/>
        <w:widowControl/>
        <w:spacing w:lineRule="auto" w:line="240" w:before="0" w:after="0"/>
        <w:jc w:val="center"/>
      </w:pPr>
      <w:r>
        <w:drawing>
          <wp:inline xmlns:a="http://schemas.openxmlformats.org/drawingml/2006/main" xmlns:pic="http://schemas.openxmlformats.org/drawingml/2006/picture">
            <wp:extent cx="4206240" cy="2827051"/>
            <wp:docPr id="1" name="Picture 1"/>
            <wp:cNvGraphicFramePr>
              <a:graphicFrameLocks noChangeAspect="1"/>
            </wp:cNvGraphicFramePr>
            <a:graphic>
              <a:graphicData uri="http://schemas.openxmlformats.org/drawingml/2006/picture">
                <pic:pic>
                  <pic:nvPicPr>
                    <pic:cNvPr id="0" name="imp.png"/>
                    <pic:cNvPicPr/>
                  </pic:nvPicPr>
                  <pic:blipFill>
                    <a:blip r:embed="rId10"/>
                    <a:stretch>
                      <a:fillRect/>
                    </a:stretch>
                  </pic:blipFill>
                  <pic:spPr>
                    <a:xfrm>
                      <a:off x="0" y="0"/>
                      <a:ext cx="4206240" cy="2827051"/>
                    </a:xfrm>
                    <a:prstGeom prst="rect"/>
                  </pic:spPr>
                </pic:pic>
              </a:graphicData>
            </a:graphic>
          </wp:inline>
        </w:drawing>
      </w:r>
    </w:p>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w:t>
      </w:r>
    </w:p>
    <w:p>
      <w:pPr>
        <w:keepNext w:val="0"/>
        <w:widowControl/>
        <w:spacing w:lineRule="auto" w:line="480" w:before="0" w:after="0"/>
        <w:ind w:firstLine="720"/>
        <w:jc w:val="left"/>
      </w:pPr>
      <w:r>
        <w:rPr>
          <w:rFonts w:ascii="Times New Roman" w:hAnsi="Times New Roman" w:cs="Times New Roman" w:eastAsia="Times New Roman"/>
          <w:b w:val="0"/>
          <w:i w:val="0"/>
          <w:sz w:val="24"/>
        </w:rPr>
        <w:t>El sistema se compone de la interfaz, el módulo de reglas (evaluación de acceso, asignación de puestos y registro de movimientos) y el almacenamiento de datos. El prototipo físico replica el núcleo de reglas en una librería portable.</w:t>
      </w:r>
    </w:p>
    <w:p>
      <w:pPr>
        <w:keepNext/>
        <w:widowControl/>
        <w:spacing w:lineRule="auto" w:line="480" w:before="0" w:after="0"/>
        <w:jc w:val="center"/>
      </w:pPr>
      <w:r>
        <w:rPr>
          <w:rFonts w:ascii="Times New Roman" w:hAnsi="Times New Roman" w:cs="Times New Roman" w:eastAsia="Times New Roman"/>
          <w:b/>
          <w:i w:val="0"/>
          <w:sz w:val="24"/>
        </w:rPr>
        <w:t>Vista de información</w:t>
      </w:r>
    </w:p>
    <w:p>
      <w:pPr>
        <w:keepNext w:val="0"/>
        <w:widowControl/>
        <w:spacing w:lineRule="auto" w:line="480" w:before="0" w:after="0"/>
        <w:ind w:firstLine="720"/>
        <w:jc w:val="left"/>
      </w:pPr>
      <w:r>
        <w:rPr>
          <w:rFonts w:ascii="Times New Roman" w:hAnsi="Times New Roman" w:cs="Times New Roman" w:eastAsia="Times New Roman"/>
          <w:b w:val="0"/>
          <w:i w:val="0"/>
          <w:sz w:val="24"/>
        </w:rPr>
        <w:t>El modelo de datos está en el documento entidad-relación. La integridad se resume en las reglas allí descritas.</w:t>
      </w:r>
    </w:p>
    <w:p>
      <w:pPr>
        <w:keepNext/>
        <w:widowControl/>
        <w:spacing w:lineRule="auto" w:line="480" w:before="0" w:after="0"/>
        <w:jc w:val="center"/>
      </w:pPr>
      <w:r>
        <w:rPr>
          <w:rFonts w:ascii="Times New Roman" w:hAnsi="Times New Roman" w:cs="Times New Roman" w:eastAsia="Times New Roman"/>
          <w:b/>
          <w:i w:val="0"/>
          <w:sz w:val="24"/>
        </w:rPr>
        <w:t>Vista de interacción</w:t>
      </w:r>
    </w:p>
    <w:p>
      <w:pPr>
        <w:keepNext/>
        <w:widowControl/>
        <w:spacing w:lineRule="auto" w:line="480" w:before="0" w:after="0"/>
        <w:jc w:val="left"/>
      </w:pPr>
      <w:r>
        <w:rPr>
          <w:rFonts w:ascii="Times New Roman" w:hAnsi="Times New Roman" w:cs="Times New Roman" w:eastAsia="Times New Roman"/>
          <w:b/>
          <w:i w:val="0"/>
          <w:sz w:val="24"/>
        </w:rPr>
        <w:t>Figura 2</w:t>
      </w:r>
    </w:p>
    <w:p>
      <w:pPr>
        <w:keepNext/>
        <w:widowControl/>
        <w:spacing w:lineRule="auto" w:line="480" w:before="0" w:after="0"/>
        <w:jc w:val="left"/>
      </w:pPr>
      <w:r>
        <w:rPr>
          <w:rFonts w:ascii="Times New Roman" w:hAnsi="Times New Roman" w:cs="Times New Roman" w:eastAsia="Times New Roman"/>
          <w:b w:val="0"/>
          <w:i/>
          <w:sz w:val="24"/>
        </w:rPr>
        <w:t>Interacción para registrar un ingreso</w:t>
      </w:r>
    </w:p>
    <w:p>
      <w:pPr>
        <w:keepNext/>
        <w:widowControl/>
        <w:spacing w:lineRule="auto" w:line="240" w:before="0" w:after="0"/>
        <w:jc w:val="center"/>
      </w:pPr>
      <w:r>
        <w:drawing>
          <wp:inline xmlns:a="http://schemas.openxmlformats.org/drawingml/2006/main" xmlns:pic="http://schemas.openxmlformats.org/drawingml/2006/picture">
            <wp:extent cx="4846320" cy="2187085"/>
            <wp:docPr id="2" name="Picture 2"/>
            <wp:cNvGraphicFramePr>
              <a:graphicFrameLocks noChangeAspect="1"/>
            </wp:cNvGraphicFramePr>
            <a:graphic>
              <a:graphicData uri="http://schemas.openxmlformats.org/drawingml/2006/picture">
                <pic:pic>
                  <pic:nvPicPr>
                    <pic:cNvPr id="0" name="col.png"/>
                    <pic:cNvPicPr/>
                  </pic:nvPicPr>
                  <pic:blipFill>
                    <a:blip r:embed="rId11"/>
                    <a:stretch>
                      <a:fillRect/>
                    </a:stretch>
                  </pic:blipFill>
                  <pic:spPr>
                    <a:xfrm>
                      <a:off x="0" y="0"/>
                      <a:ext cx="4846320" cy="2187085"/>
                    </a:xfrm>
                    <a:prstGeom prst="rect"/>
                  </pic:spPr>
                </pic:pic>
              </a:graphicData>
            </a:graphic>
          </wp:inline>
        </w:drawing>
      </w:r>
    </w:p>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w:t>
      </w:r>
    </w:p>
    <w:p>
      <w:pPr>
        <w:keepNext/>
        <w:widowControl/>
        <w:spacing w:lineRule="auto" w:line="480" w:before="0" w:after="0"/>
        <w:jc w:val="center"/>
      </w:pPr>
      <w:r>
        <w:rPr>
          <w:rFonts w:ascii="Times New Roman" w:hAnsi="Times New Roman" w:cs="Times New Roman" w:eastAsia="Times New Roman"/>
          <w:b/>
          <w:i w:val="0"/>
          <w:sz w:val="24"/>
        </w:rPr>
        <w:t>Decisiones de diseño</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Decisiones de diseño</w:t>
      </w:r>
    </w:p>
    <w:tbl>
      <w:tblPr>
        <w:jc w:val="center"/>
        <w:tblLayout w:type="fixed"/>
        <w:tblLook w:firstColumn="1" w:firstRow="1" w:lastColumn="0" w:lastRow="0" w:noHBand="0" w:noVBand="1" w:val="04A0"/>
        <w:tblLayout w:type="fixed"/>
        <w:tblW w:w="9360" w:type="dxa"/>
      </w:tblPr>
      <w:tblGrid>
        <w:gridCol w:w="2592"/>
        <w:gridCol w:w="4031"/>
        <w:gridCol w:w="2736"/>
      </w:tblGrid>
      <w:tr>
        <w:trPr>
          <w:tblHeader w:val="true"/>
          <w:cantSplit w:val="true"/>
        </w:trPr>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Decisión</w:t>
            </w:r>
          </w:p>
        </w:tc>
        <w:tc>
          <w:tcPr>
            <w:tcW w:type="dxa" w:w="403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Justificación</w:t>
            </w:r>
          </w:p>
        </w:tc>
        <w:tc>
          <w:tcPr>
            <w:tcW w:type="dxa" w:w="273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Alternativa descartada</w:t>
            </w:r>
          </w:p>
        </w:tc>
      </w:tr>
      <w:tr>
        <w:trPr>
          <w:cantSplit w:val="true"/>
        </w:trPr>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Reglas separadas de la interfaz</w:t>
            </w:r>
          </w:p>
        </w:tc>
        <w:tc>
          <w:tcPr>
            <w:tcW w:type="dxa" w:w="403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Permiten probarlas sin pantalla y portarlas al prototipo</w:t>
            </w:r>
          </w:p>
        </w:tc>
        <w:tc>
          <w:tcPr>
            <w:tcW w:type="dxa" w:w="273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Reglas dentro de cada pantalla</w:t>
            </w:r>
          </w:p>
        </w:tc>
      </w:tr>
      <w:tr>
        <w:trPr>
          <w:cantSplit w:val="true"/>
        </w:trPr>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Hash de la clave del administrador</w:t>
            </w:r>
          </w:p>
        </w:tc>
        <w:tc>
          <w:tcPr>
            <w:tcW w:type="dxa" w:w="403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Evita guardar contraseñas en texto plano (RNF-002)</w:t>
            </w:r>
          </w:p>
        </w:tc>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Clave visible en el archivo de datos</w:t>
            </w:r>
          </w:p>
        </w:tc>
      </w:tr>
      <w:tr>
        <w:trPr>
          <w:cantSplit w:val="true"/>
        </w:trPr>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Decisión final del guarda en casos dudosos</w:t>
            </w:r>
          </w:p>
        </w:tc>
        <w:tc>
          <w:tcPr>
            <w:tcW w:type="dxa" w:w="403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marca «revisar» y no deniega solo</w:t>
            </w:r>
          </w:p>
        </w:tc>
        <w:tc>
          <w:tcPr>
            <w:tcW w:type="dxa" w:w="273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Denegación automática</w:t>
            </w:r>
          </w:p>
        </w:tc>
      </w:tr>
      <w:tr>
        <w:trPr>
          <w:cantSplit w:val="true"/>
        </w:trPr>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Simulador y prototipo Arduino en lugar de no-code</w:t>
            </w:r>
          </w:p>
        </w:tc>
        <w:tc>
          <w:tcPr>
            <w:tcW w:type="dxa" w:w="403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alcance es el diseño del software y su prototipo</w:t>
            </w:r>
          </w:p>
        </w:tc>
        <w:tc>
          <w:tcPr>
            <w:tcW w:type="dxa" w:w="273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Plataformas no-code</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Decisiones del equipo; no han sido validadas por el docente.</w:t>
      </w:r>
    </w:p>
    <w:p>
      <w:pPr>
        <w:keepNext/>
        <w:widowControl/>
        <w:spacing w:lineRule="auto" w:line="480" w:before="0" w:after="0"/>
        <w:jc w:val="center"/>
      </w:pPr>
      <w:r>
        <w:rPr>
          <w:rFonts w:ascii="Times New Roman" w:hAnsi="Times New Roman" w:cs="Times New Roman" w:eastAsia="Times New Roman"/>
          <w:b/>
          <w:i w:val="0"/>
          <w:sz w:val="24"/>
        </w:rPr>
        <w:t>Trazabilidad</w:t>
      </w:r>
    </w:p>
    <w:p>
      <w:pPr>
        <w:keepNext w:val="0"/>
        <w:widowControl/>
        <w:spacing w:lineRule="auto" w:line="480" w:before="0" w:after="0"/>
        <w:ind w:firstLine="720"/>
        <w:jc w:val="left"/>
      </w:pPr>
      <w:r>
        <w:rPr>
          <w:rFonts w:ascii="Times New Roman" w:hAnsi="Times New Roman" w:cs="Times New Roman" w:eastAsia="Times New Roman"/>
          <w:b w:val="0"/>
          <w:i w:val="0"/>
          <w:sz w:val="24"/>
        </w:rPr>
        <w:t>Cada requisito RF y RNF se enlaza con una historia y un caso de uso en el documento de requisitos. Las pruebas que verificarán el diseño se describen en el informe de pruebas.</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IEEE. (2009). </w:t>
      </w:r>
      <w:r>
        <w:rPr>
          <w:rFonts w:ascii="Times New Roman" w:hAnsi="Times New Roman" w:cs="Times New Roman" w:eastAsia="Times New Roman"/>
          <w:b w:val="0"/>
          <w:i/>
          <w:sz w:val="24"/>
        </w:rPr>
        <w:t>IEEE standard for information technology—Systems design—Software design descriptions</w:t>
      </w:r>
      <w:r>
        <w:rPr>
          <w:rFonts w:ascii="Times New Roman" w:hAnsi="Times New Roman" w:cs="Times New Roman" w:eastAsia="Times New Roman"/>
          <w:b w:val="0"/>
          <w:i w:val="0"/>
          <w:sz w:val="24"/>
        </w:rPr>
        <w:t xml:space="preserve"> (IEEE Std 1016-2009). IEEE.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del Diseño del Software (SDD)</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