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Lean Canvas, Mapa de Empatía y Propuesta de Valor</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Lean Canvas, Mapa de Empatía y Propuesta de Valor</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Estas herramientas organizan la idea de negocio de C.I.S.P.P.H. Como el cliente es ficticio, su contenido es una hipótesis de trabajo, sin validación de mercado, y su enfoque iterativo sigue el marco Scrum (Schwaber y Sutherland, 2020). Las cifras económicas se dejan abiertas para no inventarlas.</w:t>
      </w:r>
    </w:p>
    <w:p>
      <w:pPr>
        <w:keepNext/>
        <w:widowControl/>
        <w:spacing w:lineRule="auto" w:line="480" w:before="0" w:after="0"/>
        <w:jc w:val="center"/>
      </w:pPr>
      <w:r>
        <w:rPr>
          <w:rFonts w:ascii="Times New Roman" w:hAnsi="Times New Roman" w:cs="Times New Roman" w:eastAsia="Times New Roman"/>
          <w:b/>
          <w:i w:val="0"/>
          <w:sz w:val="24"/>
        </w:rPr>
        <w:t>Lean Canvas</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Lean Canvas de C.I.S.P.P.H.</w:t>
      </w:r>
    </w:p>
    <w:tbl>
      <w:tblPr>
        <w:jc w:val="center"/>
        <w:tblLayout w:type="fixed"/>
        <w:tblLook w:firstColumn="1" w:firstRow="1" w:lastColumn="0" w:lastRow="0" w:noHBand="0" w:noVBand="1" w:val="04A0"/>
        <w:tblLayout w:type="fixed"/>
        <w:tblW w:w="9360" w:type="dxa"/>
      </w:tblPr>
      <w:tblGrid>
        <w:gridCol w:w="2592"/>
        <w:gridCol w:w="6768"/>
      </w:tblGrid>
      <w:tr>
        <w:trPr>
          <w:tblHeader w:val="true"/>
          <w:cantSplit w:val="true"/>
        </w:trPr>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Bloque</w:t>
            </w:r>
          </w:p>
        </w:tc>
        <w:tc>
          <w:tcPr>
            <w:tcW w:type="dxa" w:w="676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Contenido (hipótesis)</w:t>
            </w:r>
          </w:p>
        </w:tc>
      </w:tr>
      <w:tr>
        <w:trPr>
          <w:cantSplit w:val="true"/>
        </w:trPr>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Problema</w:t>
            </w:r>
          </w:p>
        </w:tc>
        <w:tc>
          <w:tcPr>
            <w:tcW w:type="dxa" w:w="676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Registro manual con errores, demoras y poca trazabilidad.</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Segmento de clientes</w:t>
            </w:r>
          </w:p>
        </w:tc>
        <w:tc>
          <w:tcPr>
            <w:tcW w:type="dxa" w:w="67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Administraciones de propiedad horizontal con parqueaderos de residentes y visitantes.</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Propuesta de valor única</w:t>
            </w:r>
          </w:p>
        </w:tc>
        <w:tc>
          <w:tcPr>
            <w:tcW w:type="dxa" w:w="67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Control de ingreso y salida con registro trazable y reglas claras por categoría de usuario.</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Solución</w:t>
            </w:r>
          </w:p>
        </w:tc>
        <w:tc>
          <w:tcPr>
            <w:tcW w:type="dxa" w:w="67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Aplicación para la garita y la administración, con prototipo de control físico.</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Canales</w:t>
            </w:r>
          </w:p>
        </w:tc>
        <w:tc>
          <w:tcPr>
            <w:tcW w:type="dxa" w:w="67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Por definir.</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Fuentes de ingreso</w:t>
            </w:r>
          </w:p>
        </w:tc>
        <w:tc>
          <w:tcPr>
            <w:tcW w:type="dxa" w:w="67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Por definir; no se establecen tarifas.</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Estructura de costos</w:t>
            </w:r>
          </w:p>
        </w:tc>
        <w:tc>
          <w:tcPr>
            <w:tcW w:type="dxa" w:w="67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Por definir.</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Métricas clave</w:t>
            </w:r>
          </w:p>
        </w:tc>
        <w:tc>
          <w:tcPr>
            <w:tcW w:type="dxa" w:w="67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Tiempo por registro y errores por turno; por medir.</w:t>
            </w:r>
          </w:p>
        </w:tc>
      </w:tr>
      <w:tr>
        <w:trPr>
          <w:cantSplit w:val="true"/>
        </w:trPr>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Ventaja especial</w:t>
            </w:r>
          </w:p>
        </w:tc>
        <w:tc>
          <w:tcPr>
            <w:tcW w:type="dxa" w:w="676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Diseño específico para propiedad horizontal colombiana.</w:t>
            </w:r>
          </w:p>
        </w:tc>
      </w:tr>
    </w:tbl>
    <w:p>
      <w:pPr>
        <w:keepNext w:val="0"/>
        <w:widowControl/>
        <w:spacing w:lineRule="auto" w:line="240" w:before="0" w:after="120"/>
      </w:pPr>
    </w:p>
    <w:p>
      <w:pPr>
        <w:keepNext/>
        <w:widowControl/>
        <w:spacing w:lineRule="auto" w:line="480" w:before="0" w:after="0"/>
        <w:jc w:val="center"/>
      </w:pPr>
      <w:r>
        <w:rPr>
          <w:rFonts w:ascii="Times New Roman" w:hAnsi="Times New Roman" w:cs="Times New Roman" w:eastAsia="Times New Roman"/>
          <w:b/>
          <w:i w:val="0"/>
          <w:sz w:val="24"/>
        </w:rPr>
        <w:t>Mapa de empatía del guarda</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Mapa de empatía del guarda (hipótesis)</w:t>
      </w:r>
    </w:p>
    <w:tbl>
      <w:tblPr>
        <w:jc w:val="center"/>
        <w:tblLayout w:type="fixed"/>
        <w:tblLook w:firstColumn="1" w:firstRow="1" w:lastColumn="0" w:lastRow="0" w:noHBand="0" w:noVBand="1" w:val="04A0"/>
        <w:tblLayout w:type="fixed"/>
        <w:tblW w:w="9360" w:type="dxa"/>
      </w:tblPr>
      <w:tblGrid>
        <w:gridCol w:w="2592"/>
        <w:gridCol w:w="6768"/>
      </w:tblGrid>
      <w:tr>
        <w:trPr>
          <w:tblHeader w:val="true"/>
          <w:cantSplit w:val="true"/>
        </w:trPr>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Dimensión</w:t>
            </w:r>
          </w:p>
        </w:tc>
        <w:tc>
          <w:tcPr>
            <w:tcW w:type="dxa" w:w="676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Contenido</w:t>
            </w:r>
          </w:p>
        </w:tc>
      </w:tr>
      <w:tr>
        <w:trPr>
          <w:cantSplit w:val="true"/>
        </w:trPr>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Piensa y siente</w:t>
            </w:r>
          </w:p>
        </w:tc>
        <w:tc>
          <w:tcPr>
            <w:tcW w:type="dxa" w:w="676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Quiere registrar sin equivocarse y evitar conflictos en la garita.</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Ve</w:t>
            </w:r>
          </w:p>
        </w:tc>
        <w:tc>
          <w:tcPr>
            <w:tcW w:type="dxa" w:w="67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Filas de vehículos y un libro o planilla de registro.</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Oye</w:t>
            </w:r>
          </w:p>
        </w:tc>
        <w:tc>
          <w:tcPr>
            <w:tcW w:type="dxa" w:w="67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Solicitudes de conductores y de la administración.</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Dice y hace</w:t>
            </w:r>
          </w:p>
        </w:tc>
        <w:tc>
          <w:tcPr>
            <w:tcW w:type="dxa" w:w="67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Verifica, anota y abre la barrera.</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Dolores</w:t>
            </w:r>
          </w:p>
        </w:tc>
        <w:tc>
          <w:tcPr>
            <w:tcW w:type="dxa" w:w="67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Presión por la demora y dificultad para buscar registros.</w:t>
            </w:r>
          </w:p>
        </w:tc>
      </w:tr>
      <w:tr>
        <w:trPr>
          <w:cantSplit w:val="true"/>
        </w:trPr>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Ganancias</w:t>
            </w:r>
          </w:p>
        </w:tc>
        <w:tc>
          <w:tcPr>
            <w:tcW w:type="dxa" w:w="676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Un proceso rápido y registros confiables.</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Es una hipótesis; no proviene de entrevistas.</w:t>
      </w:r>
    </w:p>
    <w:p>
      <w:pPr>
        <w:keepNext/>
        <w:widowControl/>
        <w:spacing w:lineRule="auto" w:line="480" w:before="0" w:after="0"/>
        <w:jc w:val="center"/>
      </w:pPr>
      <w:r>
        <w:rPr>
          <w:rFonts w:ascii="Times New Roman" w:hAnsi="Times New Roman" w:cs="Times New Roman" w:eastAsia="Times New Roman"/>
          <w:b/>
          <w:i w:val="0"/>
          <w:sz w:val="24"/>
        </w:rPr>
        <w:t>Propuesta de valor</w:t>
      </w:r>
    </w:p>
    <w:p>
      <w:pPr>
        <w:keepNext/>
        <w:widowControl/>
        <w:spacing w:lineRule="auto" w:line="480" w:before="0" w:after="0"/>
        <w:jc w:val="left"/>
      </w:pPr>
      <w:r>
        <w:rPr>
          <w:rFonts w:ascii="Times New Roman" w:hAnsi="Times New Roman" w:cs="Times New Roman" w:eastAsia="Times New Roman"/>
          <w:b/>
          <w:i w:val="0"/>
          <w:sz w:val="24"/>
        </w:rPr>
        <w:t>Tabla 3</w:t>
      </w:r>
    </w:p>
    <w:p>
      <w:pPr>
        <w:keepNext/>
        <w:widowControl/>
        <w:spacing w:lineRule="auto" w:line="480" w:before="0" w:after="0"/>
        <w:jc w:val="left"/>
      </w:pPr>
      <w:r>
        <w:rPr>
          <w:rFonts w:ascii="Times New Roman" w:hAnsi="Times New Roman" w:cs="Times New Roman" w:eastAsia="Times New Roman"/>
          <w:b w:val="0"/>
          <w:i/>
          <w:sz w:val="24"/>
        </w:rPr>
        <w:t>Propuesta de valor</w:t>
      </w:r>
    </w:p>
    <w:tbl>
      <w:tblPr>
        <w:jc w:val="center"/>
        <w:tblLayout w:type="fixed"/>
        <w:tblLook w:firstColumn="1" w:firstRow="1" w:lastColumn="0" w:lastRow="0" w:noHBand="0" w:noVBand="1" w:val="04A0"/>
        <w:tblLayout w:type="fixed"/>
        <w:tblW w:w="9360" w:type="dxa"/>
      </w:tblPr>
      <w:tblGrid>
        <w:gridCol w:w="1872"/>
        <w:gridCol w:w="3456"/>
        <w:gridCol w:w="4031"/>
      </w:tblGrid>
      <w:tr>
        <w:trPr>
          <w:tblHeader w:val="true"/>
          <w:cantSplit w:val="true"/>
        </w:trPr>
        <w:tc>
          <w:tcPr>
            <w:tcW w:type="dxa" w:w="187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Para quien</w:t>
            </w:r>
          </w:p>
        </w:tc>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Qué ofrece</w:t>
            </w:r>
          </w:p>
        </w:tc>
        <w:tc>
          <w:tcPr>
            <w:tcW w:type="dxa" w:w="403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Cómo alivia el dolor</w:t>
            </w:r>
          </w:p>
        </w:tc>
      </w:tr>
      <w:tr>
        <w:trPr>
          <w:cantSplit w:val="true"/>
        </w:trPr>
        <w:tc>
          <w:tcPr>
            <w:tcW w:type="dxa" w:w="187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Guarda</w:t>
            </w:r>
          </w:p>
        </w:tc>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Pantalla única de ingreso y salida</w:t>
            </w:r>
          </w:p>
        </w:tc>
        <w:tc>
          <w:tcPr>
            <w:tcW w:type="dxa" w:w="403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Menos pasos y menos errores de digitación</w:t>
            </w:r>
          </w:p>
        </w:tc>
      </w:tr>
      <w:tr>
        <w:trPr>
          <w:cantSplit w:val="true"/>
        </w:trPr>
        <w:tc>
          <w:tcPr>
            <w:tcW w:type="dxa" w:w="187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Administrador</w:t>
            </w:r>
          </w:p>
        </w:tc>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Historial y reportes</w:t>
            </w:r>
          </w:p>
        </w:tc>
        <w:tc>
          <w:tcPr>
            <w:tcW w:type="dxa" w:w="403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Trazabilidad y consulta rápida</w:t>
            </w:r>
          </w:p>
        </w:tc>
      </w:tr>
    </w:tbl>
    <w:p>
      <w:pPr>
        <w:keepNext w:val="0"/>
        <w:widowControl/>
        <w:spacing w:lineRule="auto" w:line="240" w:before="0" w:after="120"/>
      </w:pP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Schwaber, K., y Sutherland, J. (2020). </w:t>
      </w:r>
      <w:r>
        <w:rPr>
          <w:rFonts w:ascii="Times New Roman" w:hAnsi="Times New Roman" w:cs="Times New Roman" w:eastAsia="Times New Roman"/>
          <w:b w:val="0"/>
          <w:i/>
          <w:sz w:val="24"/>
        </w:rPr>
        <w:t>La guía de Scrum: La guía definitiva de Scrum: Las reglas del juego</w:t>
      </w:r>
      <w:r>
        <w:rPr>
          <w:rFonts w:ascii="Times New Roman" w:hAnsi="Times New Roman" w:cs="Times New Roman" w:eastAsia="Times New Roman"/>
          <w:b w:val="0"/>
          <w:i w:val="0"/>
          <w:sz w:val="24"/>
        </w:rPr>
        <w:t>. Scrum Guides. https://scrumguides.org/</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Lean Canvas, Mapa de Empatía y Propuesta de Valor</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