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Criterios de accesibilidad WCAG 2.2 y DUA aplicados al arte y al audio</w:t>
      </w:r>
    </w:p>
    <w:p>
      <w:pPr/>
      <w:r>
        <w:t xml:space="preserve">Escena 1 del Nivel 1 (Orgánico) · UNAD GameCore · Programación para Videojuegos (213027A) · Etapa 3</w:t>
      </w:r>
    </w:p>
    <w:p>
      <w:pPr/>
      <w:r>
        <w:t xml:space="preserve">Integrantes: [completar solo con quienes participaron]</w:t>
      </w:r>
    </w:p>
    <w:p>
      <w:pPr>
        <w:pStyle w:val="Heading2"/>
      </w:pPr>
      <w:r>
        <w:t xml:space="preserve">1. Alcance</w:t>
      </w:r>
    </w:p>
    <w:p>
      <w:pPr/>
      <w:r>
        <w:t xml:space="preserve">Los criterios se aplican al arte (personajes, residuos, fondo, HUD y menús) y al audio (música, efectos y ambiente) de la primera escena del Nivel 1. La escena es una pantalla fija vista desde arriba: el Guardián recolecta residuos, esquiva enemigos y, al llenar la barra de recolección, enfrenta al jefe del nivel. No incluye voz grabada.</w:t>
      </w:r>
    </w:p>
    <w:p>
      <w:pPr/>
      <w:r>
        <w:t xml:space="preserve">Se basan en WCAG 2.2 (W3C, 2023), adaptado a un juego hecho en Unity, y en el Diseño Universal para el Aprendizaje (CAST, 2018), que busca que la información se pueda percibir de varias formas, que el jugador pueda actuar de varias maneras y que se mantenga motivado. Para las cifras propias de juegos se usó como apoyo la guía sectorial Xbox Accessibility Guidelines (Microsoft, 2023; s. f.-a; s. f.-b). Cada criterio indica cómo se mide.</w:t>
      </w:r>
    </w:p>
    <w:p>
      <w:pPr>
        <w:pStyle w:val="Heading2"/>
      </w:pPr>
      <w:r>
        <w:t xml:space="preserve">2. Paleta de referencia</w:t>
      </w:r>
    </w:p>
    <w:p>
      <w:pPr/>
      <w:r>
        <w:t xml:space="preserve">Los contrastes se calcularon con la fórmula de WCAG contra las tres variantes del suelo (base, clara y oscura). Ningún objeto relevante baja de 3:1 en ninguna.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52"/>
        <w:gridCol w:w="2152"/>
        <w:gridCol w:w="3355"/>
      </w:tblGrid>
      <w:tr>
        <w:trPr>
          <w:tblHeader/>
        </w:trPr>
        <w:tc>
          <w:tcPr>
            <w:tcW w:w="3852" w:type="dxa"/>
            <w:shd w:val="clear" w:color="auto" w:fill="F2F2F2"/>
          </w:tcPr>
          <w:p>
            <w:pPr/>
            <w:r>
              <w:t xml:space="preserve">Uso</w:t>
            </w:r>
          </w:p>
        </w:tc>
        <w:tc>
          <w:tcPr>
            <w:tcW w:w="2152" w:type="dxa"/>
            <w:shd w:val="clear" w:color="auto" w:fill="F2F2F2"/>
          </w:tcPr>
          <w:p>
            <w:pPr/>
            <w:r>
              <w:t xml:space="preserve">Color</w:t>
            </w:r>
          </w:p>
        </w:tc>
        <w:tc>
          <w:tcPr>
            <w:tcW w:w="3355" w:type="dxa"/>
            <w:shd w:val="clear" w:color="auto" w:fill="F2F2F2"/>
          </w:tcPr>
          <w:p>
            <w:pPr/>
            <w:r>
              <w:t xml:space="preserve">Contraste contra suelo base / claro / oscuro</w:t>
            </w:r>
          </w:p>
        </w:tc>
      </w:tr>
      <w:tr>
        <w:tc>
          <w:tcPr>
            <w:tcW w:w="3852" w:type="dxa"/>
          </w:tcPr>
          <w:p>
            <w:pPr/>
            <w:r>
              <w:t xml:space="preserve">Suelo base</w:t>
            </w:r>
          </w:p>
        </w:tc>
        <w:tc>
          <w:tcPr>
            <w:tcW w:w="2152" w:type="dxa"/>
          </w:tcPr>
          <w:p>
            <w:pPr/>
            <w:r>
              <w:t xml:space="preserve">#1E2B24</w:t>
            </w:r>
          </w:p>
        </w:tc>
        <w:tc>
          <w:tcPr>
            <w:tcW w:w="335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852" w:type="dxa"/>
          </w:tcPr>
          <w:p>
            <w:pPr/>
            <w:r>
              <w:t xml:space="preserve">Suelo, variante clara</w:t>
            </w:r>
          </w:p>
        </w:tc>
        <w:tc>
          <w:tcPr>
            <w:tcW w:w="2152" w:type="dxa"/>
          </w:tcPr>
          <w:p>
            <w:pPr/>
            <w:r>
              <w:t xml:space="preserve">#2A3A31</w:t>
            </w:r>
          </w:p>
        </w:tc>
        <w:tc>
          <w:tcPr>
            <w:tcW w:w="335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852" w:type="dxa"/>
          </w:tcPr>
          <w:p>
            <w:pPr/>
            <w:r>
              <w:t xml:space="preserve">Suelo, variante oscura</w:t>
            </w:r>
          </w:p>
        </w:tc>
        <w:tc>
          <w:tcPr>
            <w:tcW w:w="2152" w:type="dxa"/>
          </w:tcPr>
          <w:p>
            <w:pPr/>
            <w:r>
              <w:t xml:space="preserve">#141E19</w:t>
            </w:r>
          </w:p>
        </w:tc>
        <w:tc>
          <w:tcPr>
            <w:tcW w:w="335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852" w:type="dxa"/>
          </w:tcPr>
          <w:p>
            <w:pPr/>
            <w:r>
              <w:t xml:space="preserve">Cuerpo y contorno de personajes</w:t>
            </w:r>
          </w:p>
        </w:tc>
        <w:tc>
          <w:tcPr>
            <w:tcW w:w="2152" w:type="dxa"/>
          </w:tcPr>
          <w:p>
            <w:pPr/>
            <w:r>
              <w:t xml:space="preserve">#FFF4E0</w:t>
            </w:r>
          </w:p>
        </w:tc>
        <w:tc>
          <w:tcPr>
            <w:tcW w:w="3355" w:type="dxa"/>
          </w:tcPr>
          <w:p>
            <w:pPr/>
            <w:r>
              <w:t xml:space="preserve">13,51 / 11,02 / 15,67</w:t>
            </w:r>
          </w:p>
        </w:tc>
      </w:tr>
      <w:tr>
        <w:tc>
          <w:tcPr>
            <w:tcW w:w="3852" w:type="dxa"/>
          </w:tcPr>
          <w:p>
            <w:pPr/>
            <w:r>
              <w:t xml:space="preserve">Acento del Guardián</w:t>
            </w:r>
          </w:p>
        </w:tc>
        <w:tc>
          <w:tcPr>
            <w:tcW w:w="2152" w:type="dxa"/>
          </w:tcPr>
          <w:p>
            <w:pPr/>
            <w:r>
              <w:t xml:space="preserve">#E26BB5</w:t>
            </w:r>
          </w:p>
        </w:tc>
        <w:tc>
          <w:tcPr>
            <w:tcW w:w="3355" w:type="dxa"/>
          </w:tcPr>
          <w:p>
            <w:pPr/>
            <w:r>
              <w:t xml:space="preserve">4,91 / 4,01 / 5,70</w:t>
            </w:r>
          </w:p>
        </w:tc>
      </w:tr>
      <w:tr>
        <w:tc>
          <w:tcPr>
            <w:tcW w:w="3852" w:type="dxa"/>
          </w:tcPr>
          <w:p>
            <w:pPr/>
            <w:r>
              <w:t xml:space="preserve">Residuo orgánico</w:t>
            </w:r>
          </w:p>
        </w:tc>
        <w:tc>
          <w:tcPr>
            <w:tcW w:w="2152" w:type="dxa"/>
          </w:tcPr>
          <w:p>
            <w:pPr/>
            <w:r>
              <w:t xml:space="preserve">#F2E04A</w:t>
            </w:r>
          </w:p>
        </w:tc>
        <w:tc>
          <w:tcPr>
            <w:tcW w:w="3355" w:type="dxa"/>
          </w:tcPr>
          <w:p>
            <w:pPr/>
            <w:r>
              <w:t xml:space="preserve">10,89 / 8,89 / 12,64</w:t>
            </w:r>
          </w:p>
        </w:tc>
      </w:tr>
      <w:tr>
        <w:tc>
          <w:tcPr>
            <w:tcW w:w="3852" w:type="dxa"/>
          </w:tcPr>
          <w:p>
            <w:pPr/>
            <w:r>
              <w:t xml:space="preserve">Residuo reciclable</w:t>
            </w:r>
          </w:p>
        </w:tc>
        <w:tc>
          <w:tcPr>
            <w:tcW w:w="2152" w:type="dxa"/>
          </w:tcPr>
          <w:p>
            <w:pPr/>
            <w:r>
              <w:t xml:space="preserve">#5BB8F0</w:t>
            </w:r>
          </w:p>
        </w:tc>
        <w:tc>
          <w:tcPr>
            <w:tcW w:w="3355" w:type="dxa"/>
          </w:tcPr>
          <w:p>
            <w:pPr/>
            <w:r>
              <w:t xml:space="preserve">6,70 / 5,47 / 7,77</w:t>
            </w:r>
          </w:p>
        </w:tc>
      </w:tr>
      <w:tr>
        <w:tc>
          <w:tcPr>
            <w:tcW w:w="3852" w:type="dxa"/>
          </w:tcPr>
          <w:p>
            <w:pPr/>
            <w:r>
              <w:t xml:space="preserve">Peligro (enemigos, residuo peligroso y avisos)</w:t>
            </w:r>
          </w:p>
        </w:tc>
        <w:tc>
          <w:tcPr>
            <w:tcW w:w="2152" w:type="dxa"/>
          </w:tcPr>
          <w:p>
            <w:pPr/>
            <w:r>
              <w:t xml:space="preserve">#FF8A3D</w:t>
            </w:r>
          </w:p>
        </w:tc>
        <w:tc>
          <w:tcPr>
            <w:tcW w:w="3355" w:type="dxa"/>
          </w:tcPr>
          <w:p>
            <w:pPr/>
            <w:r>
              <w:t xml:space="preserve">6,28 / 5,12 / 7,28</w:t>
            </w:r>
          </w:p>
        </w:tc>
      </w:tr>
      <w:tr>
        <w:tc>
          <w:tcPr>
            <w:tcW w:w="3852" w:type="dxa"/>
          </w:tcPr>
          <w:p>
            <w:pPr/>
            <w:r>
              <w:t xml:space="preserve">Corazón de vida</w:t>
            </w:r>
          </w:p>
        </w:tc>
        <w:tc>
          <w:tcPr>
            <w:tcW w:w="2152" w:type="dxa"/>
          </w:tcPr>
          <w:p>
            <w:pPr/>
            <w:r>
              <w:t xml:space="preserve">#FF5C7A</w:t>
            </w:r>
          </w:p>
        </w:tc>
        <w:tc>
          <w:tcPr>
            <w:tcW w:w="3355" w:type="dxa"/>
          </w:tcPr>
          <w:p>
            <w:pPr/>
            <w:r>
              <w:t xml:space="preserve">4,95 / 4,04 / 5,75</w:t>
            </w:r>
          </w:p>
        </w:tc>
      </w:tr>
      <w:tr>
        <w:tc>
          <w:tcPr>
            <w:tcW w:w="3852" w:type="dxa"/>
          </w:tcPr>
          <w:p>
            <w:pPr/>
            <w:r>
              <w:t xml:space="preserve">Neblina tóxica (decorativa)</w:t>
            </w:r>
          </w:p>
        </w:tc>
        <w:tc>
          <w:tcPr>
            <w:tcW w:w="2152" w:type="dxa"/>
          </w:tcPr>
          <w:p>
            <w:pPr/>
            <w:r>
              <w:t xml:space="preserve">#8E7CC3</w:t>
            </w:r>
          </w:p>
        </w:tc>
        <w:tc>
          <w:tcPr>
            <w:tcW w:w="335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852" w:type="dxa"/>
          </w:tcPr>
          <w:p>
            <w:pPr/>
            <w:r>
              <w:t xml:space="preserve">Panel de HUD y texto</w:t>
            </w:r>
          </w:p>
        </w:tc>
        <w:tc>
          <w:tcPr>
            <w:tcW w:w="2152" w:type="dxa"/>
          </w:tcPr>
          <w:p>
            <w:pPr/>
            <w:r>
              <w:t xml:space="preserve">#0D1511 / #FFFFFF</w:t>
            </w:r>
          </w:p>
        </w:tc>
        <w:tc>
          <w:tcPr>
            <w:tcW w:w="3355" w:type="dxa"/>
          </w:tcPr>
          <w:p>
            <w:pPr/>
            <w:r>
              <w:t xml:space="preserve">18,54:1 (texto sobre el panel)</w:t>
            </w:r>
          </w:p>
        </w:tc>
      </w:tr>
      <w:tr>
        <w:tc>
          <w:tcPr>
            <w:tcW w:w="3852" w:type="dxa"/>
          </w:tcPr>
          <w:p>
            <w:pPr/>
            <w:r>
              <w:t xml:space="preserve">Botón: relleno, texto y borde</w:t>
            </w:r>
          </w:p>
        </w:tc>
        <w:tc>
          <w:tcPr>
            <w:tcW w:w="2152" w:type="dxa"/>
          </w:tcPr>
          <w:p>
            <w:pPr/>
            <w:r>
              <w:t xml:space="preserve">#2E3B4E / #FFFFFF / #FFFFFF</w:t>
            </w:r>
          </w:p>
        </w:tc>
        <w:tc>
          <w:tcPr>
            <w:tcW w:w="3355" w:type="dxa"/>
          </w:tcPr>
          <w:p>
            <w:pPr/>
            <w:r>
              <w:t xml:space="preserve">11,34:1 (texto) y 14,72:1 (borde contra el suelo base)</w:t>
            </w:r>
          </w:p>
        </w:tc>
      </w:tr>
    </w:tbl>
    <w:p>
      <w:pPr/>
      <w:r>
        <w:t xml:space="preserve">Lo orgánico es amarillo y no verde porque el bosque y la neblina del nivel son verdes. En una simulación aproximada de daltonismo, el azul y el naranja se distinguen bien en los tres tipos; el amarillo y el naranja se acercan en deuteranopía, por eso la forma es el canal principal y el color solo refuerza. El Guardián se reconoce por su cuerpo claro y su silueta, no por el acento magenta.</w:t>
      </w:r>
    </w:p>
    <w:p>
      <w:pPr>
        <w:pStyle w:val="Heading2"/>
      </w:pPr>
      <w:r>
        <w:t xml:space="preserve">3. Criterios de arte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61"/>
        <w:gridCol w:w="4920"/>
        <w:gridCol w:w="2566"/>
        <w:gridCol w:w="913"/>
      </w:tblGrid>
      <w:tr>
        <w:trPr>
          <w:tblHeader/>
        </w:trPr>
        <w:tc>
          <w:tcPr>
            <w:tcW w:w="961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Criterio</w:t>
            </w:r>
          </w:p>
        </w:tc>
        <w:tc>
          <w:tcPr>
            <w:tcW w:w="2566" w:type="dxa"/>
            <w:shd w:val="clear" w:color="auto" w:fill="F2F2F2"/>
          </w:tcPr>
          <w:p>
            <w:pPr/>
            <w:r>
              <w:t xml:space="preserve">Cómo se mide</w:t>
            </w:r>
          </w:p>
        </w:tc>
        <w:tc>
          <w:tcPr>
            <w:tcW w:w="913" w:type="dxa"/>
            <w:shd w:val="clear" w:color="auto" w:fill="F2F2F2"/>
          </w:tcPr>
          <w:p>
            <w:pPr/>
            <w:r>
              <w:t xml:space="preserve">WCAG 2.2 · DUA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A1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Contraste de texto.</w:t>
            </w:r>
            <w:r>
              <w:t xml:space="preserve"> El texto normal tiene 4,5:1 o más contra su fondo, y 3:1 o más si mide 36 px o más a 1080p. Todo texto va sobre un panel oscuro (#0D1511) con texto blanco (18,54:1)</w:t>
            </w:r>
          </w:p>
        </w:tc>
        <w:tc>
          <w:tcPr>
            <w:tcW w:w="2566" w:type="dxa"/>
          </w:tcPr>
          <w:p>
            <w:pPr/>
            <w:r>
              <w:t xml:space="preserve">Pasar cada par de colores de la versión final por WebAIM Contrast Checker. Si el fondo no es plano, medir contra su parte de menor contraste</w:t>
            </w:r>
          </w:p>
        </w:tc>
        <w:tc>
          <w:tcPr>
            <w:tcW w:w="913" w:type="dxa"/>
          </w:tcPr>
          <w:p>
            <w:pPr/>
            <w:r>
              <w:t xml:space="preserve">1.4.3 · 1.1</w:t>
            </w:r>
          </w:p>
        </w:tc>
      </w:tr>
      <w:tr>
        <w:tc>
          <w:tcPr>
            <w:tcW w:w="961" w:type="dxa"/>
          </w:tcPr>
          <w:p>
            <w:pPr/>
            <w:r>
              <w:t xml:space="preserve">A2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Tamaño y tipo de texto.</w:t>
            </w:r>
            <w:r>
              <w:t xml:space="preserve"> HUD de 32 px o más y menús de 36 px o más a 1080p, con Canvas Scaler de referencia 1920×1080. Todo texto es TextMeshPro en una fuente pixel de letras distinguibles. Mayúsculas solo en títulos de una palabra y mensajes de 12 palabras como máximo</w:t>
            </w:r>
          </w:p>
        </w:tc>
        <w:tc>
          <w:tcPr>
            <w:tcW w:w="2566" w:type="dxa"/>
          </w:tcPr>
          <w:p>
            <w:pPr/>
            <w:r>
              <w:t xml:space="preserve">Medir el alto del texto en capturas a 1280×720 y a 1920×1080. Revisar en Unity que ningún sprite contenga letras</w:t>
            </w:r>
          </w:p>
        </w:tc>
        <w:tc>
          <w:tcPr>
            <w:tcW w:w="913" w:type="dxa"/>
          </w:tcPr>
          <w:p>
            <w:pPr/>
            <w:r>
              <w:t xml:space="preserve">1.4.4, 1.4.5 · 1.1, 2.1</w:t>
            </w:r>
          </w:p>
        </w:tc>
      </w:tr>
      <w:tr>
        <w:tc>
          <w:tcPr>
            <w:tcW w:w="961" w:type="dxa"/>
          </w:tcPr>
          <w:p>
            <w:pPr/>
            <w:r>
              <w:t xml:space="preserve">A3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Objetos jugables.</w:t>
            </w:r>
            <w:r>
              <w:t xml:space="preserve"> Guardián, residuos, enemigos, jefe y corazones tienen 3:1 o más contra las tres variantes del suelo. Personajes y enemigos llevan cuerpo o contorno claro (#FFF4E0, 1 píxel a la escala del sprite). Tamaño mínimo a 1080p: Guardián de 64 px, residuos y enemigos de 48 px, escalados en múltiplos enteros</w:t>
            </w:r>
          </w:p>
        </w:tc>
        <w:tc>
          <w:tcPr>
            <w:tcW w:w="2566" w:type="dxa"/>
          </w:tcPr>
          <w:p>
            <w:pPr/>
            <w:r>
              <w:t xml:space="preserve">Capturar la escena con cada variante del suelo y medir el color de cada objeto contra su fondo. Medir el tamaño en pantalla</w:t>
            </w:r>
          </w:p>
        </w:tc>
        <w:tc>
          <w:tcPr>
            <w:tcW w:w="913" w:type="dxa"/>
          </w:tcPr>
          <w:p>
            <w:pPr/>
            <w:r>
              <w:t xml:space="preserve">1.4.11 · 1.1, 3.2</w:t>
            </w:r>
          </w:p>
        </w:tc>
      </w:tr>
      <w:tr>
        <w:tc>
          <w:tcPr>
            <w:tcW w:w="961" w:type="dxa"/>
          </w:tcPr>
          <w:p>
            <w:pPr/>
            <w:r>
              <w:t xml:space="preserve">A4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Información sin depender del color.</w:t>
            </w:r>
            <w:r>
              <w:t xml:space="preserve"> Cada categoría de residuo se identifica por forma, color e icono (tabla 3.1). La vida son 5 corazones que se distinguen por relleno y contorno, y las barras de recolección y del jefe llevan un número (por ejemplo 4/10)</w:t>
            </w:r>
          </w:p>
        </w:tc>
        <w:tc>
          <w:tcPr>
            <w:tcW w:w="2566" w:type="dxa"/>
          </w:tcPr>
          <w:p>
            <w:pPr/>
            <w:r>
              <w:t xml:space="preserve">Ver capturas con emulación de deuteranopía, protanopía y tritanopía (Chrome DevTools, pestaña Rendering) y en escala de grises: las tres categorías y los corazones llenos y vacíos deben distinguirse</w:t>
            </w:r>
          </w:p>
        </w:tc>
        <w:tc>
          <w:tcPr>
            <w:tcW w:w="913" w:type="dxa"/>
          </w:tcPr>
          <w:p>
            <w:pPr/>
            <w:r>
              <w:t xml:space="preserve">1.4.1, 1.3.3 · 1.3, 2.5, 8.4</w:t>
            </w:r>
          </w:p>
        </w:tc>
      </w:tr>
      <w:tr>
        <w:tc>
          <w:tcPr>
            <w:tcW w:w="961" w:type="dxa"/>
          </w:tcPr>
          <w:p>
            <w:pPr/>
            <w:r>
              <w:t xml:space="preserve">A5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Aviso de peligro.</w:t>
            </w:r>
            <w:r>
              <w:t xml:space="preserve"> Durante 0,8 s antes de poder hacer daño, un triángulo naranja (#FF8A3D) con un «!» blanco aparece en el borde por donde entra el enemigo</w:t>
            </w:r>
          </w:p>
        </w:tc>
        <w:tc>
          <w:tcPr>
            <w:tcW w:w="2566" w:type="dxa"/>
          </w:tcPr>
          <w:p>
            <w:pPr/>
            <w:r>
              <w:t xml:space="preserve">Jugar la escena y comprobar que cada enemigo se anuncia antes de dañar</w:t>
            </w:r>
          </w:p>
        </w:tc>
        <w:tc>
          <w:tcPr>
            <w:tcW w:w="913" w:type="dxa"/>
          </w:tcPr>
          <w:p>
            <w:pPr/>
            <w:r>
              <w:t xml:space="preserve">1.3.3 · 3.2, 7.3</w:t>
            </w:r>
          </w:p>
        </w:tc>
      </w:tr>
      <w:tr>
        <w:tc>
          <w:tcPr>
            <w:tcW w:w="961" w:type="dxa"/>
          </w:tcPr>
          <w:p>
            <w:pPr/>
            <w:r>
              <w:t xml:space="preserve">A6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Efectos y neblina.</w:t>
            </w:r>
            <w:r>
              <w:t xml:space="preserve"> Máximo 3 destellos por segundo y ninguno rojo. El daño tiñe el sprite de #FF8A3D con 2 pulsos por segundo como máximo. Las explosiones del jefe no usan efecto estroboscópico ni llenan la pantalla. La neblina (#8E7CC3) tiene 30 % de opacidad como máximo y va por debajo de residuos, enemigos, Guardián y HUD. Opcional: opción «Reducir movimiento» con neblina estática y sin sacudida de cámara</w:t>
            </w:r>
          </w:p>
        </w:tc>
        <w:tc>
          <w:tcPr>
            <w:tcW w:w="2566" w:type="dxa"/>
          </w:tcPr>
          <w:p>
            <w:pPr/>
            <w:r>
              <w:t xml:space="preserve">Grabar el efecto de daño y las explosiones del jefe y contar los destellos cuadro por cuadro. Medir la opacidad de la neblina en Unity</w:t>
            </w:r>
          </w:p>
        </w:tc>
        <w:tc>
          <w:tcPr>
            <w:tcW w:w="913" w:type="dxa"/>
          </w:tcPr>
          <w:p>
            <w:pPr/>
            <w:r>
              <w:t xml:space="preserve">2.3.1, 2.2.2, 1.4.11 · 7.3</w:t>
            </w:r>
          </w:p>
        </w:tc>
      </w:tr>
      <w:tr>
        <w:tc>
          <w:tcPr>
            <w:tcW w:w="961" w:type="dxa"/>
          </w:tcPr>
          <w:p>
            <w:pPr/>
            <w:r>
              <w:t xml:space="preserve">A7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Menús y pantallas.</w:t>
            </w:r>
            <w:r>
              <w:t xml:space="preserve"> Botones de 64×64 px o más a 1080p. El botón con foco lleva borde blanco de 4 px, aumento de tamaño del 10 % y un triángulo ▶ a la izquierda. Los iconos significan lo mismo en todas las pantallas. La pantalla de carga muestra «Cargando» con porcentaje; victoria y derrota combinan icono, texto y sonido, y «Volver a intentar» recibe el foco inicial</w:t>
            </w:r>
          </w:p>
        </w:tc>
        <w:tc>
          <w:tcPr>
            <w:tcW w:w="2566" w:type="dxa"/>
          </w:tcPr>
          <w:p>
            <w:pPr/>
            <w:r>
              <w:t xml:space="preserve">Recorrer todas las pantallas solo con teclado y comprobar el foco visible, el tamaño de los botones y el contenido de cada pantalla</w:t>
            </w:r>
          </w:p>
        </w:tc>
        <w:tc>
          <w:tcPr>
            <w:tcW w:w="913" w:type="dxa"/>
          </w:tcPr>
          <w:p>
            <w:pPr/>
            <w:r>
              <w:t xml:space="preserve">2.1.1, 2.4.7, 2.5.8, 3.2.4 · 4.1, 7.3, 8.4</w:t>
            </w:r>
          </w:p>
        </w:tc>
      </w:tr>
    </w:tbl>
    <w:p>
      <w:pPr>
        <w:pStyle w:val="Heading3"/>
      </w:pPr>
      <w:r>
        <w:t xml:space="preserve">3.1 Lenguaje de formas de los residuos</w:t>
      </w:r>
    </w:p>
    <w:p>
      <w:pPr/>
      <w:r>
        <w:t xml:space="preserve">Cada residuo lleva una placa bajo el sprite con la forma de su categoría, de modo que se identifique aunque el color no se distinga.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44"/>
        <w:gridCol w:w="1252"/>
        <w:gridCol w:w="1222"/>
        <w:gridCol w:w="1266"/>
        <w:gridCol w:w="2065"/>
        <w:gridCol w:w="2211"/>
      </w:tblGrid>
      <w:tr>
        <w:trPr>
          <w:tblHeader/>
        </w:trPr>
        <w:tc>
          <w:tcPr>
            <w:tcW w:w="1344" w:type="dxa"/>
            <w:shd w:val="clear" w:color="auto" w:fill="F2F2F2"/>
          </w:tcPr>
          <w:p>
            <w:pPr/>
            <w:r>
              <w:t xml:space="preserve">Categoría</w:t>
            </w:r>
          </w:p>
        </w:tc>
        <w:tc>
          <w:tcPr>
            <w:tcW w:w="1252" w:type="dxa"/>
            <w:shd w:val="clear" w:color="auto" w:fill="F2F2F2"/>
          </w:tcPr>
          <w:p>
            <w:pPr/>
            <w:r>
              <w:t xml:space="preserve">Forma de la placa</w:t>
            </w:r>
          </w:p>
        </w:tc>
        <w:tc>
          <w:tcPr>
            <w:tcW w:w="1222" w:type="dxa"/>
            <w:shd w:val="clear" w:color="auto" w:fill="F2F2F2"/>
          </w:tcPr>
          <w:p>
            <w:pPr/>
            <w:r>
              <w:t xml:space="preserve">Color</w:t>
            </w:r>
          </w:p>
        </w:tc>
        <w:tc>
          <w:tcPr>
            <w:tcW w:w="1266" w:type="dxa"/>
            <w:shd w:val="clear" w:color="auto" w:fill="F2F2F2"/>
          </w:tcPr>
          <w:p>
            <w:pPr/>
            <w:r>
              <w:t xml:space="preserve">Icono</w:t>
            </w:r>
          </w:p>
        </w:tc>
        <w:tc>
          <w:tcPr>
            <w:tcW w:w="2065" w:type="dxa"/>
            <w:shd w:val="clear" w:color="auto" w:fill="F2F2F2"/>
          </w:tcPr>
          <w:p>
            <w:pPr/>
            <w:r>
              <w:t xml:space="preserve">Ejemplos</w:t>
            </w:r>
          </w:p>
        </w:tc>
        <w:tc>
          <w:tcPr>
            <w:tcW w:w="2211" w:type="dxa"/>
            <w:shd w:val="clear" w:color="auto" w:fill="F2F2F2"/>
          </w:tcPr>
          <w:p>
            <w:pPr/>
            <w:r>
              <w:t xml:space="preserve">En el Nivel 1</w:t>
            </w:r>
          </w:p>
        </w:tc>
      </w:tr>
      <w:tr>
        <w:tc>
          <w:tcPr>
            <w:tcW w:w="1344" w:type="dxa"/>
          </w:tcPr>
          <w:p>
            <w:pPr/>
            <w:r>
              <w:t xml:space="preserve">Orgánico</w:t>
            </w:r>
          </w:p>
        </w:tc>
        <w:tc>
          <w:tcPr>
            <w:tcW w:w="1252" w:type="dxa"/>
          </w:tcPr>
          <w:p>
            <w:pPr/>
            <w:r>
              <w:t xml:space="preserve">Círculo</w:t>
            </w:r>
          </w:p>
        </w:tc>
        <w:tc>
          <w:tcPr>
            <w:tcW w:w="1222" w:type="dxa"/>
          </w:tcPr>
          <w:p>
            <w:pPr/>
            <w:r>
              <w:t xml:space="preserve">#F2E04A</w:t>
            </w:r>
          </w:p>
        </w:tc>
        <w:tc>
          <w:tcPr>
            <w:tcW w:w="1266" w:type="dxa"/>
          </w:tcPr>
          <w:p>
            <w:pPr/>
            <w:r>
              <w:t xml:space="preserve">Hoja</w:t>
            </w:r>
          </w:p>
        </w:tc>
        <w:tc>
          <w:tcPr>
            <w:tcW w:w="2065" w:type="dxa"/>
          </w:tcPr>
          <w:p>
            <w:pPr/>
            <w:r>
              <w:t xml:space="preserve">Frutas, hojas, restos de comida</w:t>
            </w:r>
          </w:p>
        </w:tc>
        <w:tc>
          <w:tcPr>
            <w:tcW w:w="2211" w:type="dxa"/>
          </w:tcPr>
          <w:p>
            <w:pPr/>
            <w:r>
              <w:t xml:space="preserve">Correcto: llena la barra</w:t>
            </w:r>
          </w:p>
        </w:tc>
      </w:tr>
      <w:tr>
        <w:tc>
          <w:tcPr>
            <w:tcW w:w="1344" w:type="dxa"/>
          </w:tcPr>
          <w:p>
            <w:pPr/>
            <w:r>
              <w:t xml:space="preserve">Reciclable</w:t>
            </w:r>
          </w:p>
        </w:tc>
        <w:tc>
          <w:tcPr>
            <w:tcW w:w="1252" w:type="dxa"/>
          </w:tcPr>
          <w:p>
            <w:pPr/>
            <w:r>
              <w:t xml:space="preserve">Cuadrado</w:t>
            </w:r>
          </w:p>
        </w:tc>
        <w:tc>
          <w:tcPr>
            <w:tcW w:w="1222" w:type="dxa"/>
          </w:tcPr>
          <w:p>
            <w:pPr/>
            <w:r>
              <w:t xml:space="preserve">#5BB8F0</w:t>
            </w:r>
          </w:p>
        </w:tc>
        <w:tc>
          <w:tcPr>
            <w:tcW w:w="1266" w:type="dxa"/>
          </w:tcPr>
          <w:p>
            <w:pPr/>
            <w:r>
              <w:t xml:space="preserve">Flechas circulares</w:t>
            </w:r>
          </w:p>
        </w:tc>
        <w:tc>
          <w:tcPr>
            <w:tcW w:w="2065" w:type="dxa"/>
          </w:tcPr>
          <w:p>
            <w:pPr/>
            <w:r>
              <w:t xml:space="preserve">Cartón, botellas, latas</w:t>
            </w:r>
          </w:p>
        </w:tc>
        <w:tc>
          <w:tcPr>
            <w:tcW w:w="2211" w:type="dxa"/>
          </w:tcPr>
          <w:p>
            <w:pPr/>
            <w:r>
              <w:t xml:space="preserve">Incorrecto: quita una vida</w:t>
            </w:r>
          </w:p>
        </w:tc>
      </w:tr>
      <w:tr>
        <w:tc>
          <w:tcPr>
            <w:tcW w:w="1344" w:type="dxa"/>
          </w:tcPr>
          <w:p>
            <w:pPr/>
            <w:r>
              <w:t xml:space="preserve">Peligroso</w:t>
            </w:r>
          </w:p>
        </w:tc>
        <w:tc>
          <w:tcPr>
            <w:tcW w:w="1252" w:type="dxa"/>
          </w:tcPr>
          <w:p>
            <w:pPr/>
            <w:r>
              <w:t xml:space="preserve">Triángulo</w:t>
            </w:r>
          </w:p>
        </w:tc>
        <w:tc>
          <w:tcPr>
            <w:tcW w:w="1222" w:type="dxa"/>
          </w:tcPr>
          <w:p>
            <w:pPr/>
            <w:r>
              <w:t xml:space="preserve">#FF8A3D</w:t>
            </w:r>
          </w:p>
        </w:tc>
        <w:tc>
          <w:tcPr>
            <w:tcW w:w="1266" w:type="dxa"/>
          </w:tcPr>
          <w:p>
            <w:pPr/>
            <w:r>
              <w:t xml:space="preserve">Signo «!»</w:t>
            </w:r>
          </w:p>
        </w:tc>
        <w:tc>
          <w:tcPr>
            <w:tcW w:w="2065" w:type="dxa"/>
          </w:tcPr>
          <w:p>
            <w:pPr/>
            <w:r>
              <w:t xml:space="preserve">Pilas, químicos</w:t>
            </w:r>
          </w:p>
        </w:tc>
        <w:tc>
          <w:tcPr>
            <w:tcW w:w="2211" w:type="dxa"/>
          </w:tcPr>
          <w:p>
            <w:pPr/>
            <w:r>
              <w:t xml:space="preserve">Aparece desde el Nivel 3</w:t>
            </w:r>
          </w:p>
        </w:tc>
      </w:tr>
    </w:tbl>
    <w:p>
      <w:pPr/>
      <w:r>
        <w:t xml:space="preserve">El triángulo naranja significa daño en todo el juego: lo usan el residuo peligroso y el aviso de enemigo (A5). La respuesta de cada recolección es:</w:t>
      </w:r>
    </w:p>
    <w:p>
      <w:pPr>
        <w:pStyle w:val="ListParagraph"/>
        <w:numPr>
          <w:ilvl w:val="0"/>
          <w:numId w:val="2"/>
        </w:numPr>
      </w:pPr>
      <w:r>
        <w:t xml:space="preserve">Correcta: aparece «+1» con una marca ✓ junto al residuo y la barra avanza.</w:t>
      </w:r>
    </w:p>
    <w:p>
      <w:pPr>
        <w:pStyle w:val="ListParagraph"/>
        <w:numPr>
          <w:ilvl w:val="0"/>
          <w:numId w:val="2"/>
        </w:numPr>
      </w:pPr>
      <w:r>
        <w:t xml:space="preserve">Incorrecta: el corazón se rompe, aparece una marca ✕ y el mensaje «Residuo incorrecto» durante 1,5 s.</w:t>
      </w:r>
    </w:p>
    <w:p>
      <w:pPr>
        <w:pStyle w:val="Heading2"/>
      </w:pPr>
      <w:r>
        <w:t xml:space="preserve">4. Criterios de audio</w:t>
      </w:r>
    </w:p>
    <w:p>
      <w:pPr/>
      <w:r>
        <w:t xml:space="preserve">El audio sigue un lenguaje fijo: una señal que sube indica acierto, una que baja indica error y una que se repite en pulsos indica peligro.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61"/>
        <w:gridCol w:w="4716"/>
        <w:gridCol w:w="2377"/>
        <w:gridCol w:w="1306"/>
      </w:tblGrid>
      <w:tr>
        <w:trPr>
          <w:tblHeader/>
        </w:trPr>
        <w:tc>
          <w:tcPr>
            <w:tcW w:w="961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4716" w:type="dxa"/>
            <w:shd w:val="clear" w:color="auto" w:fill="F2F2F2"/>
          </w:tcPr>
          <w:p>
            <w:pPr/>
            <w:r>
              <w:t xml:space="preserve">Criterio</w:t>
            </w:r>
          </w:p>
        </w:tc>
        <w:tc>
          <w:tcPr>
            <w:tcW w:w="2377" w:type="dxa"/>
            <w:shd w:val="clear" w:color="auto" w:fill="F2F2F2"/>
          </w:tcPr>
          <w:p>
            <w:pPr/>
            <w:r>
              <w:t xml:space="preserve">Cómo se mide</w:t>
            </w:r>
          </w:p>
        </w:tc>
        <w:tc>
          <w:tcPr>
            <w:tcW w:w="1306" w:type="dxa"/>
            <w:shd w:val="clear" w:color="auto" w:fill="F2F2F2"/>
          </w:tcPr>
          <w:p>
            <w:pPr/>
            <w:r>
              <w:t xml:space="preserve">WCAG 2.2 · DUA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S1</w:t>
            </w:r>
          </w:p>
        </w:tc>
        <w:tc>
          <w:tcPr>
            <w:tcW w:w="4716" w:type="dxa"/>
          </w:tcPr>
          <w:p>
            <w:pPr/>
            <w:r>
              <w:rPr>
                <w:b/>
              </w:rPr>
              <w:t xml:space="preserve">Avisos visuales.</w:t>
            </w:r>
            <w:r>
              <w:t xml:space="preserve"> Cada evento de la tabla 4.1 tiene una señal visual equivalente, de modo que con el volumen en 0 se identifican todos</w:t>
            </w:r>
          </w:p>
        </w:tc>
        <w:tc>
          <w:tcPr>
            <w:tcW w:w="2377" w:type="dxa"/>
          </w:tcPr>
          <w:p>
            <w:pPr/>
            <w:r>
              <w:t xml:space="preserve">Jugar la escena completa en silencio y comprobar cada evento</w:t>
            </w:r>
          </w:p>
        </w:tc>
        <w:tc>
          <w:tcPr>
            <w:tcW w:w="1306" w:type="dxa"/>
          </w:tcPr>
          <w:p>
            <w:pPr/>
            <w:r>
              <w:t xml:space="preserve">1.3.3 · 1.2</w:t>
            </w:r>
          </w:p>
        </w:tc>
      </w:tr>
      <w:tr>
        <w:tc>
          <w:tcPr>
            <w:tcW w:w="961" w:type="dxa"/>
          </w:tcPr>
          <w:p>
            <w:pPr/>
            <w:r>
              <w:t xml:space="preserve">S2</w:t>
            </w:r>
          </w:p>
        </w:tc>
        <w:tc>
          <w:tcPr>
            <w:tcW w:w="4716" w:type="dxa"/>
          </w:tcPr>
          <w:p>
            <w:pPr/>
            <w:r>
              <w:rPr>
                <w:b/>
              </w:rPr>
              <w:t xml:space="preserve">Sonidos distinguibles.</w:t>
            </w:r>
            <w:r>
              <w:t xml:space="preserve"> Cada evento tiene patrón, tono y duración propios, y sigue el lenguaje de subida, bajada y pulsos</w:t>
            </w:r>
          </w:p>
        </w:tc>
        <w:tc>
          <w:tcPr>
            <w:tcW w:w="2377" w:type="dxa"/>
          </w:tcPr>
          <w:p>
            <w:pPr/>
            <w:r>
              <w:t xml:space="preserve">Escuchar los sonidos de la tabla 4.1 seguidos y confirmar que ninguno se confunde con otro</w:t>
            </w:r>
          </w:p>
        </w:tc>
        <w:tc>
          <w:tcPr>
            <w:tcW w:w="1306" w:type="dxa"/>
          </w:tcPr>
          <w:p>
            <w:pPr/>
            <w:r>
              <w:t xml:space="preserve">1.3.3 · 1.2, 3.2</w:t>
            </w:r>
          </w:p>
        </w:tc>
      </w:tr>
      <w:tr>
        <w:tc>
          <w:tcPr>
            <w:tcW w:w="961" w:type="dxa"/>
          </w:tcPr>
          <w:p>
            <w:pPr/>
            <w:r>
              <w:t xml:space="preserve">S3</w:t>
            </w:r>
          </w:p>
        </w:tc>
        <w:tc>
          <w:tcPr>
            <w:tcW w:w="4716" w:type="dxa"/>
          </w:tcPr>
          <w:p>
            <w:pPr/>
            <w:r>
              <w:rPr>
                <w:b/>
              </w:rPr>
              <w:t xml:space="preserve">Control de volumen.</w:t>
            </w:r>
            <w:r>
              <w:t xml:space="preserve"> Deslizadores de General, Música y Efectos de 0 a 100 %, en el inicio y en la pausa, con valores por defecto de 100, 60 y 80 %. Botón de silencio. La configuración se conserva entre sesiones y la música empieza solo después de pulsar START</w:t>
            </w:r>
          </w:p>
        </w:tc>
        <w:tc>
          <w:tcPr>
            <w:tcW w:w="2377" w:type="dxa"/>
          </w:tcPr>
          <w:p>
            <w:pPr/>
            <w:r>
              <w:t xml:space="preserve">Mover cada deslizador, activar el silencio, cerrar y reabrir el juego</w:t>
            </w:r>
          </w:p>
        </w:tc>
        <w:tc>
          <w:tcPr>
            <w:tcW w:w="1306" w:type="dxa"/>
          </w:tcPr>
          <w:p>
            <w:pPr/>
            <w:r>
              <w:t xml:space="preserve">1.4.2 · 7.1</w:t>
            </w:r>
          </w:p>
        </w:tc>
      </w:tr>
      <w:tr>
        <w:tc>
          <w:tcPr>
            <w:tcW w:w="961" w:type="dxa"/>
          </w:tcPr>
          <w:p>
            <w:pPr/>
            <w:r>
              <w:t xml:space="preserve">S4</w:t>
            </w:r>
          </w:p>
        </w:tc>
        <w:tc>
          <w:tcPr>
            <w:tcW w:w="4716" w:type="dxa"/>
          </w:tcPr>
          <w:p>
            <w:pPr/>
            <w:r>
              <w:rPr>
                <w:b/>
              </w:rPr>
              <w:t xml:space="preserve">Niveles de audio.</w:t>
            </w:r>
            <w:r>
              <w:t xml:space="preserve"> Pico máximo de −3 dBFS en todos los archivos, sin saturación. Los avisos (enemigo, daño y jefe) quedan al menos 6 dB sobre la música</w:t>
            </w:r>
          </w:p>
        </w:tc>
        <w:tc>
          <w:tcPr>
            <w:tcW w:w="2377" w:type="dxa"/>
          </w:tcPr>
          <w:p>
            <w:pPr/>
            <w:r>
              <w:t xml:space="preserve">Medir el pico de cada archivo en el editor de audio y comparar los niveles</w:t>
            </w:r>
          </w:p>
        </w:tc>
        <w:tc>
          <w:tcPr>
            <w:tcW w:w="1306" w:type="dxa"/>
          </w:tcPr>
          <w:p>
            <w:pPr/>
            <w:r>
              <w:t xml:space="preserve">1.4.2 (adaptado) · 1.2</w:t>
            </w:r>
          </w:p>
        </w:tc>
      </w:tr>
      <w:tr>
        <w:tc>
          <w:tcPr>
            <w:tcW w:w="961" w:type="dxa"/>
          </w:tcPr>
          <w:p>
            <w:pPr/>
            <w:r>
              <w:t xml:space="preserve">S5</w:t>
            </w:r>
          </w:p>
        </w:tc>
        <w:tc>
          <w:tcPr>
            <w:tcW w:w="4716" w:type="dxa"/>
          </w:tcPr>
          <w:p>
            <w:pPr/>
            <w:r>
              <w:rPr>
                <w:b/>
              </w:rPr>
              <w:t xml:space="preserve">Rango de frecuencias.</w:t>
            </w:r>
            <w:r>
              <w:t xml:space="preserve"> La energía principal de las señales críticas está entre 300 Hz y 4 kHz. No se depende de graves por debajo de 100 Hz ni de agudos por encima de 8 kHz</w:t>
            </w:r>
          </w:p>
        </w:tc>
        <w:tc>
          <w:tcPr>
            <w:tcW w:w="2377" w:type="dxa"/>
          </w:tcPr>
          <w:p>
            <w:pPr/>
            <w:r>
              <w:t xml:space="preserve">Revisar el espectro de cada señal crítica y escucharlas en los parlantes de un portátil</w:t>
            </w:r>
          </w:p>
        </w:tc>
        <w:tc>
          <w:tcPr>
            <w:tcW w:w="1306" w:type="dxa"/>
          </w:tcPr>
          <w:p>
            <w:pPr/>
            <w:r>
              <w:t xml:space="preserve">1.3.3 (adaptado) · 1.2</w:t>
            </w:r>
          </w:p>
        </w:tc>
      </w:tr>
      <w:tr>
        <w:tc>
          <w:tcPr>
            <w:tcW w:w="961" w:type="dxa"/>
          </w:tcPr>
          <w:p>
            <w:pPr/>
            <w:r>
              <w:t xml:space="preserve">S6</w:t>
            </w:r>
          </w:p>
        </w:tc>
        <w:tc>
          <w:tcPr>
            <w:tcW w:w="4716" w:type="dxa"/>
          </w:tcPr>
          <w:p>
            <w:pPr/>
            <w:r>
              <w:rPr>
                <w:b/>
              </w:rPr>
              <w:t xml:space="preserve">Música y ambiente.</w:t>
            </w:r>
            <w:r>
              <w:t xml:space="preserve"> La música del jefe cambia de tempo y de timbre, y el cambio se anuncia con el banner «Jefe». El ambiente de bosque húmedo no incluye sonidos que imiten los avisos, como gotas con timbre de alerta</w:t>
            </w:r>
          </w:p>
        </w:tc>
        <w:tc>
          <w:tcPr>
            <w:tcW w:w="2377" w:type="dxa"/>
          </w:tcPr>
          <w:p>
            <w:pPr/>
            <w:r>
              <w:t xml:space="preserve">Comparar la música del jefe con la del nivel y escuchar el ambiente solo para comprobar que no se confunde con una alerta</w:t>
            </w:r>
          </w:p>
        </w:tc>
        <w:tc>
          <w:tcPr>
            <w:tcW w:w="1306" w:type="dxa"/>
          </w:tcPr>
          <w:p>
            <w:pPr/>
            <w:r>
              <w:t xml:space="preserve">1.3.3 · 3.2</w:t>
            </w:r>
          </w:p>
        </w:tc>
      </w:tr>
    </w:tbl>
    <w:p>
      <w:pPr/>
      <w:r>
        <w:t xml:space="preserve">Si una pantalla incorpora voz, lleva subtítulos con el nombre de quien habla y contraste de 4,5:1 (WCAG 1.2.2). El audio generado con IA se verifica con S3, S4 y S5 antes de integrarlo y se registra en la Declaración de uso de IA. Las duraciones, bandas de frecuencia y niveles de volumen son metas de diseño del equipo, comprobables con las mediciones indicadas.</w:t>
      </w:r>
    </w:p>
    <w:p>
      <w:pPr>
        <w:pStyle w:val="Heading3"/>
      </w:pPr>
      <w:r>
        <w:t xml:space="preserve">4.1 Eventos sonoros y su equivalente visual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8"/>
        <w:gridCol w:w="2759"/>
        <w:gridCol w:w="3853"/>
        <w:gridCol w:w="1160"/>
      </w:tblGrid>
      <w:tr>
        <w:trPr>
          <w:tblHeader/>
        </w:trPr>
        <w:tc>
          <w:tcPr>
            <w:tcW w:w="1588" w:type="dxa"/>
            <w:shd w:val="clear" w:color="auto" w:fill="F2F2F2"/>
          </w:tcPr>
          <w:p>
            <w:pPr/>
            <w:r>
              <w:t xml:space="preserve">Evento</w:t>
            </w:r>
          </w:p>
        </w:tc>
        <w:tc>
          <w:tcPr>
            <w:tcW w:w="2759" w:type="dxa"/>
            <w:shd w:val="clear" w:color="auto" w:fill="F2F2F2"/>
          </w:tcPr>
          <w:p>
            <w:pPr/>
            <w:r>
              <w:t xml:space="preserve">Señal sonora</w:t>
            </w:r>
          </w:p>
        </w:tc>
        <w:tc>
          <w:tcPr>
            <w:tcW w:w="3853" w:type="dxa"/>
            <w:shd w:val="clear" w:color="auto" w:fill="F2F2F2"/>
          </w:tcPr>
          <w:p>
            <w:pPr/>
            <w:r>
              <w:t xml:space="preserve">Equivalente visual</w:t>
            </w:r>
          </w:p>
        </w:tc>
        <w:tc>
          <w:tcPr>
            <w:tcW w:w="1160" w:type="dxa"/>
            <w:shd w:val="clear" w:color="auto" w:fill="F2F2F2"/>
          </w:tcPr>
          <w:p>
            <w:pPr/>
            <w:r>
              <w:t xml:space="preserve">Duración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Recolección correcta</w:t>
            </w:r>
          </w:p>
        </w:tc>
        <w:tc>
          <w:tcPr>
            <w:tcW w:w="2759" w:type="dxa"/>
          </w:tcPr>
          <w:p>
            <w:pPr/>
            <w:r>
              <w:t xml:space="preserve">Dos notas ascendentes, timbre brillante</w:t>
            </w:r>
          </w:p>
        </w:tc>
        <w:tc>
          <w:tcPr>
            <w:tcW w:w="3853" w:type="dxa"/>
          </w:tcPr>
          <w:p>
            <w:pPr/>
            <w:r>
              <w:t xml:space="preserve">«+1» con ✓ y avance de la barra</w:t>
            </w:r>
          </w:p>
        </w:tc>
        <w:tc>
          <w:tcPr>
            <w:tcW w:w="1160" w:type="dxa"/>
          </w:tcPr>
          <w:p>
            <w:pPr/>
            <w:r>
              <w:t xml:space="preserve">0,25 s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Recolección incorrecta</w:t>
            </w:r>
          </w:p>
        </w:tc>
        <w:tc>
          <w:tcPr>
            <w:tcW w:w="2759" w:type="dxa"/>
          </w:tcPr>
          <w:p>
            <w:pPr/>
            <w:r>
              <w:t xml:space="preserve">Una nota grave descendente con ruido corto</w:t>
            </w:r>
          </w:p>
        </w:tc>
        <w:tc>
          <w:tcPr>
            <w:tcW w:w="3853" w:type="dxa"/>
          </w:tcPr>
          <w:p>
            <w:pPr/>
            <w:r>
              <w:t xml:space="preserve">Corazón roto, ✕ y mensaje «Residuo incorrecto»</w:t>
            </w:r>
          </w:p>
        </w:tc>
        <w:tc>
          <w:tcPr>
            <w:tcW w:w="1160" w:type="dxa"/>
          </w:tcPr>
          <w:p>
            <w:pPr/>
            <w:r>
              <w:t xml:space="preserve">0,4 s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Daño por enemigo</w:t>
            </w:r>
          </w:p>
        </w:tc>
        <w:tc>
          <w:tcPr>
            <w:tcW w:w="2759" w:type="dxa"/>
          </w:tcPr>
          <w:p>
            <w:pPr/>
            <w:r>
              <w:t xml:space="preserve">Golpe seco sin tono musical</w:t>
            </w:r>
          </w:p>
        </w:tc>
        <w:tc>
          <w:tcPr>
            <w:tcW w:w="3853" w:type="dxa"/>
          </w:tcPr>
          <w:p>
            <w:pPr/>
            <w:r>
              <w:t xml:space="preserve">Tinte naranja del Guardián (máximo 2 pulsos por segundo) y corazón vacío</w:t>
            </w:r>
          </w:p>
        </w:tc>
        <w:tc>
          <w:tcPr>
            <w:tcW w:w="1160" w:type="dxa"/>
          </w:tcPr>
          <w:p>
            <w:pPr/>
            <w:r>
              <w:t xml:space="preserve">0,3 s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Aparición de enemigo</w:t>
            </w:r>
          </w:p>
        </w:tc>
        <w:tc>
          <w:tcPr>
            <w:tcW w:w="2759" w:type="dxa"/>
          </w:tcPr>
          <w:p>
            <w:pPr/>
            <w:r>
              <w:t xml:space="preserve">Tono corto repetido dos veces (pulsos)</w:t>
            </w:r>
          </w:p>
        </w:tc>
        <w:tc>
          <w:tcPr>
            <w:tcW w:w="3853" w:type="dxa"/>
          </w:tcPr>
          <w:p>
            <w:pPr/>
            <w:r>
              <w:t xml:space="preserve">Triángulo naranja con «!» en el borde de entrada</w:t>
            </w:r>
          </w:p>
        </w:tc>
        <w:tc>
          <w:tcPr>
            <w:tcW w:w="1160" w:type="dxa"/>
          </w:tcPr>
          <w:p>
            <w:pPr/>
            <w:r>
              <w:t xml:space="preserve">2 × 0,2 s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Barra completa</w:t>
            </w:r>
          </w:p>
        </w:tc>
        <w:tc>
          <w:tcPr>
            <w:tcW w:w="2759" w:type="dxa"/>
          </w:tcPr>
          <w:p>
            <w:pPr/>
            <w:r>
              <w:t xml:space="preserve">Arpegio ascendente de tres notas</w:t>
            </w:r>
          </w:p>
        </w:tc>
        <w:tc>
          <w:tcPr>
            <w:tcW w:w="3853" w:type="dxa"/>
          </w:tcPr>
          <w:p>
            <w:pPr/>
            <w:r>
              <w:t xml:space="preserve">Mensaje «¡Jefe disponible!» y barra con borde claro</w:t>
            </w:r>
          </w:p>
        </w:tc>
        <w:tc>
          <w:tcPr>
            <w:tcW w:w="1160" w:type="dxa"/>
          </w:tcPr>
          <w:p>
            <w:pPr/>
            <w:r>
              <w:t xml:space="preserve">0,8 s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Inicio del jefe</w:t>
            </w:r>
          </w:p>
        </w:tc>
        <w:tc>
          <w:tcPr>
            <w:tcW w:w="2759" w:type="dxa"/>
          </w:tcPr>
          <w:p>
            <w:pPr/>
            <w:r>
              <w:t xml:space="preserve">Cambio de música con golpe grave</w:t>
            </w:r>
          </w:p>
        </w:tc>
        <w:tc>
          <w:tcPr>
            <w:tcW w:w="3853" w:type="dxa"/>
          </w:tcPr>
          <w:p>
            <w:pPr/>
            <w:r>
              <w:t xml:space="preserve">Banner «Jefe» con la barra de vida</w:t>
            </w:r>
          </w:p>
        </w:tc>
        <w:tc>
          <w:tcPr>
            <w:tcW w:w="1160" w:type="dxa"/>
          </w:tcPr>
          <w:p>
            <w:pPr/>
            <w:r>
              <w:t xml:space="preserve">1,0 s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Lanzamiento</w:t>
            </w:r>
          </w:p>
        </w:tc>
        <w:tc>
          <w:tcPr>
            <w:tcW w:w="2759" w:type="dxa"/>
          </w:tcPr>
          <w:p>
            <w:pPr/>
            <w:r>
              <w:t xml:space="preserve">Silbido corto ascendente</w:t>
            </w:r>
          </w:p>
        </w:tc>
        <w:tc>
          <w:tcPr>
            <w:tcW w:w="3853" w:type="dxa"/>
          </w:tcPr>
          <w:p>
            <w:pPr/>
            <w:r>
              <w:t xml:space="preserve">Proyectil visible con estela</w:t>
            </w:r>
          </w:p>
        </w:tc>
        <w:tc>
          <w:tcPr>
            <w:tcW w:w="1160" w:type="dxa"/>
          </w:tcPr>
          <w:p>
            <w:pPr/>
            <w:r>
              <w:t xml:space="preserve">0,2 s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Impacto en el jefe</w:t>
            </w:r>
          </w:p>
        </w:tc>
        <w:tc>
          <w:tcPr>
            <w:tcW w:w="2759" w:type="dxa"/>
          </w:tcPr>
          <w:p>
            <w:pPr/>
            <w:r>
              <w:t xml:space="preserve">Golpe medio con eco corto</w:t>
            </w:r>
          </w:p>
        </w:tc>
        <w:tc>
          <w:tcPr>
            <w:tcW w:w="3853" w:type="dxa"/>
          </w:tcPr>
          <w:p>
            <w:pPr/>
            <w:r>
              <w:t xml:space="preserve">La barra del jefe baja y su número cambia</w:t>
            </w:r>
          </w:p>
        </w:tc>
        <w:tc>
          <w:tcPr>
            <w:tcW w:w="1160" w:type="dxa"/>
          </w:tcPr>
          <w:p>
            <w:pPr/>
            <w:r>
              <w:t xml:space="preserve">0,3 s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Victoria</w:t>
            </w:r>
          </w:p>
        </w:tc>
        <w:tc>
          <w:tcPr>
            <w:tcW w:w="2759" w:type="dxa"/>
          </w:tcPr>
          <w:p>
            <w:pPr/>
            <w:r>
              <w:t xml:space="preserve">Melodía ascendente de cierre</w:t>
            </w:r>
          </w:p>
        </w:tc>
        <w:tc>
          <w:tcPr>
            <w:tcW w:w="3853" w:type="dxa"/>
          </w:tcPr>
          <w:p>
            <w:pPr/>
            <w:r>
              <w:t xml:space="preserve">Pantalla de victoria con icono y texto</w:t>
            </w:r>
          </w:p>
        </w:tc>
        <w:tc>
          <w:tcPr>
            <w:tcW w:w="1160" w:type="dxa"/>
          </w:tcPr>
          <w:p>
            <w:pPr/>
            <w:r>
              <w:t xml:space="preserve">1,5 s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Derrota</w:t>
            </w:r>
          </w:p>
        </w:tc>
        <w:tc>
          <w:tcPr>
            <w:tcW w:w="2759" w:type="dxa"/>
          </w:tcPr>
          <w:p>
            <w:pPr/>
            <w:r>
              <w:t xml:space="preserve">Melodía descendente lenta</w:t>
            </w:r>
          </w:p>
        </w:tc>
        <w:tc>
          <w:tcPr>
            <w:tcW w:w="3853" w:type="dxa"/>
          </w:tcPr>
          <w:p>
            <w:pPr/>
            <w:r>
              <w:t xml:space="preserve">Pantalla de derrota con icono, texto y botón de reintento</w:t>
            </w:r>
          </w:p>
        </w:tc>
        <w:tc>
          <w:tcPr>
            <w:tcW w:w="1160" w:type="dxa"/>
          </w:tcPr>
          <w:p>
            <w:pPr/>
            <w:r>
              <w:t xml:space="preserve">1,5 s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Navegación de menú</w:t>
            </w:r>
          </w:p>
        </w:tc>
        <w:tc>
          <w:tcPr>
            <w:tcW w:w="2759" w:type="dxa"/>
          </w:tcPr>
          <w:p>
            <w:pPr/>
            <w:r>
              <w:t xml:space="preserve">Clic suave</w:t>
            </w:r>
          </w:p>
        </w:tc>
        <w:tc>
          <w:tcPr>
            <w:tcW w:w="3853" w:type="dxa"/>
          </w:tcPr>
          <w:p>
            <w:pPr/>
            <w:r>
              <w:t xml:space="preserve">Foco visible (A7)</w:t>
            </w:r>
          </w:p>
        </w:tc>
        <w:tc>
          <w:tcPr>
            <w:tcW w:w="1160" w:type="dxa"/>
          </w:tcPr>
          <w:p>
            <w:pPr/>
            <w:r>
              <w:t xml:space="preserve">0,1 s</w:t>
            </w:r>
          </w:p>
        </w:tc>
      </w:tr>
    </w:tbl>
    <w:p>
      <w:pPr>
        <w:pStyle w:val="Heading2"/>
      </w:pPr>
      <w:r>
        <w:t xml:space="preserve">5. Criterios de interacción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61"/>
        <w:gridCol w:w="4646"/>
        <w:gridCol w:w="2543"/>
        <w:gridCol w:w="1210"/>
      </w:tblGrid>
      <w:tr>
        <w:trPr>
          <w:tblHeader/>
        </w:trPr>
        <w:tc>
          <w:tcPr>
            <w:tcW w:w="961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4646" w:type="dxa"/>
            <w:shd w:val="clear" w:color="auto" w:fill="F2F2F2"/>
          </w:tcPr>
          <w:p>
            <w:pPr/>
            <w:r>
              <w:t xml:space="preserve">Criterio</w:t>
            </w:r>
          </w:p>
        </w:tc>
        <w:tc>
          <w:tcPr>
            <w:tcW w:w="2543" w:type="dxa"/>
            <w:shd w:val="clear" w:color="auto" w:fill="F2F2F2"/>
          </w:tcPr>
          <w:p>
            <w:pPr/>
            <w:r>
              <w:t xml:space="preserve">Cómo se mide</w:t>
            </w:r>
          </w:p>
        </w:tc>
        <w:tc>
          <w:tcPr>
            <w:tcW w:w="1210" w:type="dxa"/>
            <w:shd w:val="clear" w:color="auto" w:fill="F2F2F2"/>
          </w:tcPr>
          <w:p>
            <w:pPr/>
            <w:r>
              <w:t xml:space="preserve">WCAG 2.2 · DUA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I1</w:t>
            </w:r>
          </w:p>
        </w:tc>
        <w:tc>
          <w:tcPr>
            <w:tcW w:w="4646" w:type="dxa"/>
          </w:tcPr>
          <w:p>
            <w:pPr/>
            <w:r>
              <w:rPr>
                <w:b/>
              </w:rPr>
              <w:t xml:space="preserve">Controles alternativos.</w:t>
            </w:r>
            <w:r>
              <w:t xml:space="preserve"> Pausa con Esc o P, movimiento con flechas o WASD, y lanzar con Q o Espacio, todos activos a la vez</w:t>
            </w:r>
          </w:p>
        </w:tc>
        <w:tc>
          <w:tcPr>
            <w:tcW w:w="2543" w:type="dxa"/>
          </w:tcPr>
          <w:p>
            <w:pPr/>
            <w:r>
              <w:t xml:space="preserve">Completar la escena solo con teclado, probando cada esquema</w:t>
            </w:r>
          </w:p>
        </w:tc>
        <w:tc>
          <w:tcPr>
            <w:tcW w:w="1210" w:type="dxa"/>
          </w:tcPr>
          <w:p>
            <w:pPr/>
            <w:r>
              <w:t xml:space="preserve">2.1.1, 2.1.4 · 4.1</w:t>
            </w:r>
          </w:p>
        </w:tc>
      </w:tr>
      <w:tr>
        <w:tc>
          <w:tcPr>
            <w:tcW w:w="961" w:type="dxa"/>
          </w:tcPr>
          <w:p>
            <w:pPr/>
            <w:r>
              <w:t xml:space="preserve">I2</w:t>
            </w:r>
          </w:p>
        </w:tc>
        <w:tc>
          <w:tcPr>
            <w:tcW w:w="4646" w:type="dxa"/>
          </w:tcPr>
          <w:p>
            <w:pPr/>
            <w:r>
              <w:rPr>
                <w:b/>
              </w:rPr>
              <w:t xml:space="preserve">Opciones adicionales (opcional).</w:t>
            </w:r>
            <w:r>
              <w:t xml:space="preserve"> Tamaño del texto en 100, 150 y 200 % y reasignación de las teclas de movimiento, lanzar y pausa</w:t>
            </w:r>
          </w:p>
        </w:tc>
        <w:tc>
          <w:tcPr>
            <w:tcW w:w="2543" w:type="dxa"/>
          </w:tcPr>
          <w:p>
            <w:pPr/>
            <w:r>
              <w:t xml:space="preserve">Cambiar cada opción y comprobar que se aplica y se conserva</w:t>
            </w:r>
          </w:p>
        </w:tc>
        <w:tc>
          <w:tcPr>
            <w:tcW w:w="1210" w:type="dxa"/>
          </w:tcPr>
          <w:p>
            <w:pPr/>
            <w:r>
              <w:t xml:space="preserve">1.4.4, 2.1.4 · 1.1, 4.1</w:t>
            </w:r>
          </w:p>
        </w:tc>
      </w:tr>
    </w:tbl>
    <w:p>
      <w:pPr>
        <w:pStyle w:val="Heading2"/>
      </w:pPr>
      <w:r>
        <w:t xml:space="preserve">6. Referencias</w:t>
      </w:r>
    </w:p>
    <w:p>
      <w:pPr/>
      <w:r>
        <w:t xml:space="preserve">CAST. (2018). </w:t>
      </w:r>
      <w:r>
        <w:rPr>
          <w:i/>
        </w:rPr>
        <w:t xml:space="preserve">Universal Design for Learning guidelines version 2.2</w:t>
      </w:r>
      <w:r>
        <w:t xml:space="preserve">. https://udlguidelines.cast.org/</w:t>
      </w:r>
    </w:p>
    <w:p>
      <w:pPr/>
      <w:r>
        <w:t xml:space="preserve">Microsoft. (2023). </w:t>
      </w:r>
      <w:r>
        <w:rPr>
          <w:i/>
        </w:rPr>
        <w:t xml:space="preserve">Xbox Accessibility Guidelines (XAG), versión 3.2</w:t>
      </w:r>
      <w:r>
        <w:t xml:space="preserve">. https://learn.microsoft.com/en-us/gaming/accessibility/guidelines</w:t>
      </w:r>
    </w:p>
    <w:p>
      <w:pPr/>
      <w:r>
        <w:t xml:space="preserve">Microsoft. (s. f.-a). </w:t>
      </w:r>
      <w:r>
        <w:rPr>
          <w:i/>
        </w:rPr>
        <w:t xml:space="preserve">XAG 101: Text display</w:t>
      </w:r>
      <w:r>
        <w:t xml:space="preserve">. Xbox Developer Documentation. https://devdocs.xbox.com/build/game-principles/accessibility/xag-deep-dives/xag-101-text-display.md</w:t>
      </w:r>
    </w:p>
    <w:p>
      <w:pPr/>
      <w:r>
        <w:t xml:space="preserve">Microsoft. (s. f.-b). </w:t>
      </w:r>
      <w:r>
        <w:rPr>
          <w:i/>
        </w:rPr>
        <w:t xml:space="preserve">XAG 102: Contrast</w:t>
      </w:r>
      <w:r>
        <w:t xml:space="preserve">. Xbox Developer Documentation. https://devdocs.xbox.com/build/game-principles/accessibility/xag-deep-dives/xag-102-contrast.md</w:t>
      </w:r>
    </w:p>
    <w:p>
      <w:pPr/>
      <w:r>
        <w:t xml:space="preserve">WebAIM. (2024). </w:t>
      </w:r>
      <w:r>
        <w:rPr>
          <w:i/>
        </w:rPr>
        <w:t xml:space="preserve">Contrast Checker</w:t>
      </w:r>
      <w:r>
        <w:t xml:space="preserve">. https://webaim.org/resources/contrastchecker/</w:t>
      </w:r>
    </w:p>
    <w:p>
      <w:pPr/>
      <w:r>
        <w:t xml:space="preserve">World Wide Web Consortium (W3C). (2023). </w:t>
      </w:r>
      <w:r>
        <w:rPr>
          <w:i/>
        </w:rPr>
        <w:t xml:space="preserve">Web Content Accessibility Guidelines (WCAG) 2.2</w:t>
      </w:r>
      <w:r>
        <w:t xml:space="preserve">. https://www.w3.org/TR/WCAG22/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Criterios de accesibilidad WCAG 2.2 y DUA aplicados al arte y al audio</dc:title>
  <dc:description>Claude Docs node/95f054b7-ff79@25 docx-w7</dc:description>
  <cp:revision>25</cp:revision>
</cp:coreProperties>
</file>