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Attendance Analysis — Interview Cheat Sheet</w:t>
      </w:r>
    </w:p>
    <w:p>
      <w:pPr>
        <w:pStyle w:val="Heading1"/>
      </w:pPr>
      <w:r>
        <w:t>Project Story</w:t>
      </w:r>
    </w:p>
    <w:p>
      <w:r>
        <w:t>“I analyzed student attendance data to understand absence patterns and their relationship with attendance. The analysis showed a clear decline in attendance as absence levels increased. I also compared attendance across gender, school, and study-time groups and identified the proportion of students in different absence categories.”</w:t>
      </w:r>
    </w:p>
    <w:p>
      <w:pPr>
        <w:pStyle w:val="Heading1"/>
      </w:pPr>
      <w:r>
        <w:t>Key Insights</w:t>
      </w:r>
    </w:p>
    <w:p>
      <w:pPr>
        <w:pStyle w:val="ListBullet"/>
      </w:pPr>
      <w:r>
        <w:t>Average attendance is 80.97% across 395 students.</w:t>
      </w:r>
    </w:p>
    <w:p>
      <w:pPr>
        <w:pStyle w:val="ListBullet"/>
      </w:pPr>
      <w:r>
        <w:t>Attendance decreases as absence levels increase: ~95% for 0–5 absences, ~75% for 6–10, ~50% for 11–20, and ~12% for 20+.</w:t>
      </w:r>
    </w:p>
    <w:p>
      <w:pPr>
        <w:pStyle w:val="ListBullet"/>
      </w:pPr>
      <w:r>
        <w:t>249 students (63.04%) have 0–5 absences; 80 (20.25%) have 6–10; 51 (12.91%) have 11–20; the remaining students are in 20+.</w:t>
      </w:r>
    </w:p>
    <w:p>
      <w:pPr>
        <w:pStyle w:val="ListBullet"/>
      </w:pPr>
      <w:r>
        <w:t>108 students are classified as low-attendance students.</w:t>
      </w:r>
    </w:p>
    <w:p>
      <w:pPr>
        <w:pStyle w:val="ListBullet"/>
      </w:pPr>
      <w:r>
        <w:t>Male and female average attendance is relatively similar, both around the 80% range.</w:t>
      </w:r>
    </w:p>
    <w:p>
      <w:pPr>
        <w:pStyle w:val="ListBullet"/>
      </w:pPr>
      <w:r>
        <w:t>MS and GP show different average attendance levels, allowing school-level comparison.</w:t>
      </w:r>
    </w:p>
    <w:p>
      <w:pPr>
        <w:pStyle w:val="ListBullet"/>
      </w:pPr>
      <w:r>
        <w:t>Attendance varies across study-time levels, with higher study-time groups showing somewhat higher attendance in this dataset.</w:t>
      </w:r>
    </w:p>
    <w:p>
      <w:pPr>
        <w:pStyle w:val="Heading1"/>
      </w:pPr>
      <w:r>
        <w:t>Important Assumption</w:t>
      </w:r>
    </w:p>
    <w:p>
      <w:r>
        <w:t>The attendance percentage is a calculated attendance proxy based on an assumed 30-day period. Values below 0% are capped at 0%. This assumption should be disclosed in the portfolio README.</w:t>
      </w:r>
    </w:p>
    <w:p>
      <w:pPr>
        <w:pStyle w:val="Heading1"/>
      </w:pPr>
      <w:r>
        <w:t>Interview Reminder</w:t>
      </w:r>
    </w:p>
    <w:p>
      <w:r>
        <w:t>Do not just say: “I created a Power BI dashboard.” Explain the business question, the analysis, the key pattern found, and the tools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