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26"/>
        </w:rPr>
        <w:t>UNIVERSITY OF INFORMATION TECHNOLOGY AND SCIENCES (UITS)</w:t>
      </w:r>
    </w:p>
    <w:p>
      <w:pPr>
        <w:spacing w:before="0" w:after="120"/>
        <w:jc w:val="center"/>
      </w:pPr>
      <w:r>
        <w:rPr>
          <w:b/>
          <w:i w:val="0"/>
          <w:sz w:val="24"/>
        </w:rPr>
        <w:t>Department of Computer Science &amp; Engineering</w:t>
      </w:r>
    </w:p>
    <w:p/>
    <w:p/>
    <w:p>
      <w:pPr>
        <w:jc w:val="center"/>
      </w:pPr>
      <w:r>
        <w:rPr>
          <w:b/>
          <w:i w:val="0"/>
          <w:color w:val="1F3864"/>
          <w:sz w:val="56"/>
        </w:rPr>
        <w:t>AquaGuard</w:t>
      </w:r>
    </w:p>
    <w:p>
      <w:pPr>
        <w:spacing w:before="0" w:after="120"/>
        <w:jc w:val="center"/>
      </w:pPr>
      <w:r>
        <w:rPr>
          <w:b w:val="0"/>
          <w:i/>
          <w:sz w:val="28"/>
        </w:rPr>
        <w:t>Intelligent Aquaculture Monitoring and Adaptive Protection System</w:t>
      </w:r>
    </w:p>
    <w:p/>
    <w:p>
      <w:pPr>
        <w:spacing w:before="0" w:after="120"/>
        <w:jc w:val="center"/>
      </w:pPr>
      <w:r>
        <w:rPr>
          <w:b/>
          <w:i w:val="0"/>
          <w:sz w:val="26"/>
        </w:rPr>
        <w:t>Capstone Project Report — Final Draft</w:t>
      </w:r>
    </w:p>
    <w:p>
      <w:pPr>
        <w:spacing w:before="0" w:after="120"/>
        <w:jc w:val="center"/>
      </w:pPr>
      <w:r>
        <w:rPr>
          <w:b w:val="0"/>
          <w:i w:val="0"/>
          <w:sz w:val="24"/>
        </w:rPr>
        <w:t>Bachelor of Science in Computer Science &amp; Engineering</w:t>
      </w:r>
    </w:p>
    <w:p/>
    <w:p/>
    <w:p>
      <w:pPr>
        <w:jc w:val="center"/>
      </w:pPr>
      <w:r>
        <w:rPr>
          <w:b w:val="0"/>
          <w:i w:val="0"/>
          <w:sz w:val="22"/>
        </w:rPr>
        <w:t>Srabon   |   ID: 0432310005101056</w:t>
      </w:r>
    </w:p>
    <w:p>
      <w:pPr>
        <w:jc w:val="center"/>
      </w:pPr>
      <w:r>
        <w:rPr>
          <w:b w:val="0"/>
          <w:i w:val="0"/>
          <w:sz w:val="22"/>
        </w:rPr>
        <w:t>Md. Mahfuz   |   ID: 0432310005101057</w:t>
      </w:r>
    </w:p>
    <w:p>
      <w:pPr>
        <w:jc w:val="center"/>
      </w:pPr>
      <w:r>
        <w:rPr>
          <w:b w:val="0"/>
          <w:i w:val="0"/>
          <w:sz w:val="22"/>
        </w:rPr>
        <w:t>Hrithik Saha   |   ID: 0432310005101071</w:t>
      </w:r>
    </w:p>
    <w:p/>
    <w:p>
      <w:pPr>
        <w:spacing w:before="0" w:after="120"/>
        <w:jc w:val="center"/>
      </w:pPr>
      <w:r>
        <w:rPr>
          <w:b/>
          <w:i w:val="0"/>
          <w:sz w:val="22"/>
        </w:rPr>
        <w:t>Supervisor: Sultana Rokeya Naher</w:t>
      </w:r>
    </w:p>
    <w:p>
      <w:pPr>
        <w:spacing w:before="0" w:after="120"/>
        <w:jc w:val="center"/>
      </w:pPr>
      <w:r>
        <w:rPr>
          <w:b w:val="0"/>
          <w:i w:val="0"/>
          <w:sz w:val="22"/>
        </w:rPr>
        <w:t>Associate Professor, Department of CSE, UITS</w:t>
      </w:r>
    </w:p>
    <w:p/>
    <w:p>
      <w:pPr>
        <w:spacing w:before="0" w:after="120"/>
        <w:jc w:val="center"/>
      </w:pPr>
      <w:r>
        <w:rPr>
          <w:b w:val="0"/>
          <w:i w:val="0"/>
          <w:sz w:val="22"/>
        </w:rPr>
        <w:t>Dhaka, Bangladesh — October 2026</w:t>
      </w:r>
    </w:p>
    <w:p>
      <w:r>
        <w:br w:type="page"/>
      </w:r>
    </w:p>
    <w:p>
      <w:pPr>
        <w:pStyle w:val="Heading1"/>
      </w:pPr>
      <w:r>
        <w:t>Abstract</w:t>
      </w:r>
    </w:p>
    <w:p>
      <w:pPr>
        <w:spacing w:before="0" w:after="120"/>
        <w:jc w:val="both"/>
      </w:pPr>
      <w:r>
        <w:rPr>
          <w:b w:val="0"/>
          <w:i w:val="0"/>
          <w:sz w:val="22"/>
        </w:rPr>
        <w:t>Fish farming contributes over 3.5% to Bangladesh's national GDP and supplies 60% of dietary animal protein. Fish farmers in Bangladesh face two recurring threats: silent pond water deterioration that kills fish before farmers notice, and seasonal monsoon river floods that overtop pond dikes and wash away entire stocks. Most small-scale farmers rely on manual weekly inspection — a method that cannot detect early-stage toxicity.</w:t>
      </w:r>
    </w:p>
    <w:p>
      <w:pPr>
        <w:spacing w:before="0" w:after="120"/>
        <w:jc w:val="both"/>
      </w:pPr>
      <w:r>
        <w:rPr>
          <w:b w:val="0"/>
          <w:i w:val="0"/>
          <w:sz w:val="22"/>
        </w:rPr>
        <w:t>This capstone project presents AquaGuard, an integrated low-cost IoT monitoring system combined with a three-model predictive machine learning decision-support engine. The hardware edge node uses an ESP32 (WROOM-32) microcontroller connected to a pH probe (PH4502C, powered at 3.3V to protect the ESP32 ADC pins), a TDS probe, an NTC thermistor for temperature, and an HC-SR04 ultrasonic water-level sensor. An autonomous Finite State Machine (FSM) running every 30 seconds controls a 2-channel optoisolated relay module for a drain pump and a refill pump, plus a servo-based automated fish feeder. Live telemetry is pushed to a Firebase Realtime Database, which drives a web dashboard with alert banners.</w:t>
      </w:r>
    </w:p>
    <w:p>
      <w:pPr>
        <w:spacing w:before="0" w:after="120"/>
        <w:jc w:val="both"/>
      </w:pPr>
      <w:r>
        <w:rPr>
          <w:b w:val="0"/>
          <w:i w:val="0"/>
          <w:sz w:val="22"/>
        </w:rPr>
        <w:t>Three machine learning models provide predictive protection:</w:t>
      </w:r>
    </w:p>
    <w:p>
      <w:pPr>
        <w:pStyle w:val="ListBullet"/>
      </w:pPr>
      <w:r>
        <w:rPr>
          <w:b w:val="0"/>
          <w:i w:val="0"/>
          <w:sz w:val="22"/>
        </w:rPr>
        <w:t>Model 1 — River Flood Forecast: Predicts Jamuna River water levels at Bahadurabad Transit 1 to 14 days ahead, trained on 15 years (2008–2022) of BWDB gauge data with Leave-One-Year-Out (LOYO) cross-validation. Linear Regression achieved NSE = 0.985 and RMSE = 0.308 m on the 2020–2022 test holdout, outperforming tree-based models because linear models extrapolate flood peaks without hitting a training-set ceiling.</w:t>
      </w:r>
    </w:p>
    <w:p>
      <w:pPr>
        <w:pStyle w:val="ListBullet"/>
      </w:pPr>
      <w:r>
        <w:rPr>
          <w:b w:val="0"/>
          <w:i w:val="0"/>
          <w:sz w:val="22"/>
        </w:rPr>
        <w:t>Model 2 — Pond TDS Forecast (+60 min): Linear Regression (R² = 0.888, MAE = 7.05 ppm) outperformed XGBoost (R² = 0.711) because pond chemistry drifts slowly over a 60-minute window. SHAP analysis confirmed physically expected lag features as dominant predictors.</w:t>
      </w:r>
    </w:p>
    <w:p>
      <w:pPr>
        <w:pStyle w:val="ListBullet"/>
      </w:pPr>
      <w:r>
        <w:rPr>
          <w:b w:val="0"/>
          <w:i w:val="0"/>
          <w:sz w:val="22"/>
        </w:rPr>
        <w:t>Model 3 — Multivariate Anomaly Detection: Isolation Forest trained on sensor rate-of-change deltas detected 67 anomalies versus 55 by single-parameter Z-scores, catching dangerous multi-parameter conditions such as pH 8.2 combined with temperature 32°C that cause lethal ammonia spikes.</w:t>
      </w:r>
    </w:p>
    <w:p>
      <w:pPr>
        <w:spacing w:before="0" w:after="120"/>
        <w:jc w:val="both"/>
      </w:pPr>
      <w:r>
        <w:rPr>
          <w:b/>
          <w:i w:val="0"/>
          <w:sz w:val="22"/>
        </w:rPr>
        <w:t>Total build cost: 6,570 BDT (~$55 USD).</w:t>
      </w:r>
    </w:p>
    <w:p>
      <w:pPr>
        <w:spacing w:before="0" w:after="120"/>
      </w:pPr>
      <w:r>
        <w:rPr>
          <w:b w:val="0"/>
          <w:i/>
          <w:sz w:val="22"/>
        </w:rPr>
        <w:t>Keywords: Internet of Things, Water Quality Monitoring, Flood Early Warning, Machine Learning, Explainable AI (SHAP), Isolation Forest, Bangladesh Aquaculture.</w:t>
      </w:r>
    </w:p>
    <w:p>
      <w:r>
        <w:br w:type="page"/>
      </w:r>
    </w:p>
    <w:p>
      <w:pPr>
        <w:pStyle w:val="Heading1"/>
      </w:pPr>
      <w:r>
        <w:t>Chapter 1: Introduction</w:t>
      </w:r>
    </w:p>
    <w:p>
      <w:pPr>
        <w:pStyle w:val="Heading2"/>
      </w:pPr>
      <w:r>
        <w:t>1.1 Introduction</w:t>
      </w:r>
    </w:p>
    <w:p>
      <w:pPr>
        <w:spacing w:before="0" w:after="120"/>
        <w:jc w:val="both"/>
      </w:pPr>
      <w:r>
        <w:rPr>
          <w:b w:val="0"/>
          <w:i w:val="0"/>
          <w:sz w:val="22"/>
        </w:rPr>
        <w:t>Bangladesh is one of the world's leading aquaculture nations. Over 18 million people depend on fish farming as their primary livelihood [1]. The sector faces two specific threats that current technology does not address for small-scale farmers: pond water toxicity and monsoon river flooding.</w:t>
      </w:r>
    </w:p>
    <w:p>
      <w:pPr>
        <w:pStyle w:val="ListBullet"/>
      </w:pPr>
      <w:r>
        <w:rPr>
          <w:b w:val="0"/>
          <w:i w:val="0"/>
          <w:sz w:val="22"/>
        </w:rPr>
        <w:t>Pond water toxicity develops gradually and silently. pH imbalances, TDS spikes from fertilizer runoff, and temperature-driven ammonia surges can kill an entire pond stock before a farmer notices any visible change in the water.</w:t>
      </w:r>
    </w:p>
    <w:p>
      <w:pPr>
        <w:pStyle w:val="ListBullet"/>
      </w:pPr>
      <w:r>
        <w:rPr>
          <w:b w:val="0"/>
          <w:i w:val="0"/>
          <w:sz w:val="22"/>
        </w:rPr>
        <w:t>Monsoon river flooding from the Jamuna catchment can overtop pond dikes within hours of reaching the Bahadurabad gauge, washing away an entire season's harvest.</w:t>
      </w:r>
    </w:p>
    <w:p>
      <w:pPr>
        <w:spacing w:before="0" w:after="120"/>
        <w:jc w:val="both"/>
      </w:pPr>
      <w:r>
        <w:rPr>
          <w:b w:val="0"/>
          <w:i w:val="0"/>
          <w:sz w:val="22"/>
        </w:rPr>
        <w:t>AquaGuard addresses both threats with a single integrated system: an affordable IoT edge node that monitors and acts locally, and a cloud-backed machine learning engine that provides advance warning.</w:t>
      </w:r>
    </w:p>
    <w:p>
      <w:pPr>
        <w:pStyle w:val="Heading2"/>
      </w:pPr>
      <w:r>
        <w:t>1.2 Motivation</w:t>
      </w:r>
    </w:p>
    <w:p>
      <w:pPr>
        <w:spacing w:before="0" w:after="120"/>
        <w:jc w:val="both"/>
      </w:pPr>
      <w:r>
        <w:rPr>
          <w:b w:val="0"/>
          <w:i w:val="0"/>
          <w:sz w:val="22"/>
        </w:rPr>
        <w:t>Four specific gaps motivated this project:</w:t>
      </w:r>
    </w:p>
    <w:p>
      <w:pPr>
        <w:pStyle w:val="ListBullet"/>
      </w:pPr>
      <w:r>
        <w:rPr>
          <w:b w:val="0"/>
          <w:i w:val="0"/>
          <w:sz w:val="22"/>
        </w:rPr>
        <w:t>No continuous water monitoring. Parameters like pH and TDS change throughout the day. Farmers visually check water color once a week. By the time a problem is visible, fish are already dying.</w:t>
      </w:r>
    </w:p>
    <w:p>
      <w:pPr>
        <w:pStyle w:val="ListBullet"/>
      </w:pPr>
      <w:r>
        <w:rPr>
          <w:b w:val="0"/>
          <w:i w:val="0"/>
          <w:sz w:val="22"/>
        </w:rPr>
        <w:t>No automated protective action. If a farmer is asleep or away when a TDS spike begins, no system turns on the drain pump in time.</w:t>
      </w:r>
    </w:p>
    <w:p>
      <w:pPr>
        <w:pStyle w:val="ListBullet"/>
      </w:pPr>
      <w:r>
        <w:rPr>
          <w:b w:val="0"/>
          <w:i w:val="0"/>
          <w:sz w:val="22"/>
        </w:rPr>
        <w:t>No local flood warning for farmers. National agency warnings cover entire basins. A fish farmer on the Jamuna floodplain needs 3–7 days advance warning at the Bahadurabad gauge specifically.</w:t>
      </w:r>
    </w:p>
    <w:p>
      <w:pPr>
        <w:pStyle w:val="ListBullet"/>
      </w:pPr>
      <w:r>
        <w:rPr>
          <w:b w:val="0"/>
          <w:i w:val="0"/>
          <w:sz w:val="22"/>
        </w:rPr>
        <w:t>No affordable solution. Commercial SCADA or PLC systems cost $2,000–$10,000 — completely unaffordable for a rural Bangladeshi farmer.</w:t>
      </w:r>
    </w:p>
    <w:p>
      <w:pPr>
        <w:spacing w:before="0" w:after="120"/>
        <w:jc w:val="both"/>
      </w:pPr>
      <w:r>
        <w:rPr>
          <w:b w:val="0"/>
          <w:i w:val="0"/>
          <w:sz w:val="22"/>
        </w:rPr>
        <w:t>AquaGuard was designed to cost under 7,200 BDT (~$60) using off-the-shelf components.</w:t>
      </w:r>
    </w:p>
    <w:p>
      <w:pPr>
        <w:pStyle w:val="Heading2"/>
      </w:pPr>
      <w:r>
        <w:t>1.3 Aims and Objectives</w:t>
      </w:r>
    </w:p>
    <w:p>
      <w:pPr>
        <w:spacing w:before="0" w:after="120"/>
        <w:jc w:val="both"/>
      </w:pPr>
      <w:r>
        <w:rPr>
          <w:b w:val="0"/>
          <w:i w:val="0"/>
          <w:sz w:val="22"/>
        </w:rPr>
        <w:t>The specific technical objectives were:</w:t>
      </w:r>
    </w:p>
    <w:p>
      <w:pPr>
        <w:pStyle w:val="ListBullet"/>
      </w:pPr>
      <w:r>
        <w:rPr>
          <w:b w:val="0"/>
          <w:i w:val="0"/>
          <w:sz w:val="22"/>
        </w:rPr>
        <w:t>Assemble a multi-sensor IoT edge node using an ESP32 connected to pH, TDS, temperature, and ultrasonic water-level sensors, sampling every 30 seconds.</w:t>
      </w:r>
    </w:p>
    <w:p>
      <w:pPr>
        <w:pStyle w:val="ListBullet"/>
      </w:pPr>
      <w:r>
        <w:rPr>
          <w:b w:val="0"/>
          <w:i w:val="0"/>
          <w:sz w:val="22"/>
        </w:rPr>
        <w:t>Program a Finite State Machine in C++ to automatically control two pumps and a servo feeder based on local sensor readings, with rules that continue operating if internet drops.</w:t>
      </w:r>
    </w:p>
    <w:p>
      <w:pPr>
        <w:pStyle w:val="ListBullet"/>
      </w:pPr>
      <w:r>
        <w:rPr>
          <w:b w:val="0"/>
          <w:i w:val="0"/>
          <w:sz w:val="22"/>
        </w:rPr>
        <w:t>Set up Firebase Realtime Database for cloud telemetry and a Python FastAPI backend to serve three ML models.</w:t>
      </w:r>
    </w:p>
    <w:p>
      <w:pPr>
        <w:pStyle w:val="ListBullet"/>
      </w:pPr>
      <w:r>
        <w:rPr>
          <w:b w:val="0"/>
          <w:i w:val="0"/>
          <w:sz w:val="22"/>
        </w:rPr>
        <w:t>Train and evaluate Model 1: Jamuna River water-level forecasting (1–14 days) using LOYO cross-validation.</w:t>
      </w:r>
    </w:p>
    <w:p>
      <w:pPr>
        <w:pStyle w:val="ListBullet"/>
      </w:pPr>
      <w:r>
        <w:rPr>
          <w:b w:val="0"/>
          <w:i w:val="0"/>
          <w:sz w:val="22"/>
        </w:rPr>
        <w:t>Train and evaluate Model 2: Pond TDS forecasting (+60 minutes) with SHAP explainability.</w:t>
      </w:r>
    </w:p>
    <w:p>
      <w:pPr>
        <w:pStyle w:val="ListBullet"/>
      </w:pPr>
      <w:r>
        <w:rPr>
          <w:b w:val="0"/>
          <w:i w:val="0"/>
          <w:sz w:val="22"/>
        </w:rPr>
        <w:t>Train and evaluate Model 3: Unsupervised multivariate anomaly detection using Isolation Forest.</w:t>
      </w:r>
    </w:p>
    <w:p>
      <w:pPr>
        <w:pStyle w:val="ListBullet"/>
      </w:pPr>
      <w:r>
        <w:rPr>
          <w:b w:val="0"/>
          <w:i w:val="0"/>
          <w:sz w:val="22"/>
        </w:rPr>
        <w:t>Build a web dashboard with live sensor tiles, pump controls, alert banners, trend charts, and a browser-based pH calibration wizard.</w:t>
      </w:r>
    </w:p>
    <w:p>
      <w:pPr>
        <w:pStyle w:val="Heading2"/>
      </w:pPr>
      <w:r>
        <w:t>1.4 Challenges</w:t>
      </w:r>
    </w:p>
    <w:p>
      <w:pPr>
        <w:pStyle w:val="ListBullet"/>
      </w:pPr>
      <w:r>
        <w:rPr>
          <w:b w:val="0"/>
          <w:i w:val="0"/>
          <w:sz w:val="22"/>
        </w:rPr>
        <w:t>Hardware protection: The PH4502C module is typically powered at 5V. That risks burning out the ESP32 ADC pin. We operated it at 3.3V and compensated through two-point software calibration.</w:t>
      </w:r>
    </w:p>
    <w:p>
      <w:pPr>
        <w:pStyle w:val="ListBullet"/>
      </w:pPr>
      <w:r>
        <w:rPr>
          <w:b w:val="0"/>
          <w:i w:val="0"/>
          <w:sz w:val="22"/>
        </w:rPr>
        <w:t>Time-series data leakage: Standard K-Fold cross-validation shuffles data randomly and leaks future values into training. We designed LOYO validation to prevent this.</w:t>
      </w:r>
    </w:p>
    <w:p>
      <w:pPr>
        <w:pStyle w:val="ListBullet"/>
      </w:pPr>
      <w:r>
        <w:rPr>
          <w:b w:val="0"/>
          <w:i w:val="0"/>
          <w:sz w:val="22"/>
        </w:rPr>
        <w:t>Peak extrapolation failure: Tree-based models cannot predict water levels above the maximum in training data — a critical failure for record-breaking flood years.</w:t>
      </w:r>
    </w:p>
    <w:p>
      <w:pPr>
        <w:pStyle w:val="ListBullet"/>
      </w:pPr>
      <w:r>
        <w:rPr>
          <w:b w:val="0"/>
          <w:i w:val="0"/>
          <w:sz w:val="22"/>
        </w:rPr>
        <w:t>No labeled anomaly data: Fish ponds do not have historical logs of 'bad water' events, ruling out supervised classification for Model 3.</w:t>
      </w:r>
    </w:p>
    <w:p>
      <w:pPr>
        <w:pStyle w:val="Heading2"/>
      </w:pPr>
      <w:r>
        <w:t>1.5 Contributions</w:t>
      </w:r>
    </w:p>
    <w:p>
      <w:pPr>
        <w:pStyle w:val="ListBullet"/>
      </w:pPr>
      <w:r>
        <w:rPr>
          <w:b w:val="0"/>
          <w:i w:val="0"/>
          <w:sz w:val="22"/>
        </w:rPr>
        <w:t>Built a sub-$60 multi-sensor ESP32 edge node with voltage dividers, 3.3V sensor operation, and 64-sample ADC oversampling for noise reduction.</w:t>
      </w:r>
    </w:p>
    <w:p>
      <w:pPr>
        <w:pStyle w:val="ListBullet"/>
      </w:pPr>
      <w:r>
        <w:rPr>
          <w:b w:val="0"/>
          <w:i w:val="0"/>
          <w:sz w:val="22"/>
        </w:rPr>
        <w:t>Proved through 15-year LOYO cross-validation that Linear Regression outperforms tree ensembles for extreme flood peak extrapolation.</w:t>
      </w:r>
    </w:p>
    <w:p>
      <w:pPr>
        <w:pStyle w:val="ListBullet"/>
      </w:pPr>
      <w:r>
        <w:rPr>
          <w:b w:val="0"/>
          <w:i w:val="0"/>
          <w:sz w:val="22"/>
        </w:rPr>
        <w:t>Delivered dual-horizon protection: 3–14 day river flood warning + 60-minute pond quality forecast + real-time anomaly detection.</w:t>
      </w:r>
    </w:p>
    <w:p>
      <w:pPr>
        <w:pStyle w:val="ListBullet"/>
      </w:pPr>
      <w:r>
        <w:rPr>
          <w:b w:val="0"/>
          <w:i w:val="0"/>
          <w:sz w:val="22"/>
        </w:rPr>
        <w:t>Designed a browser-based pH calibration wizard requiring no firmware re-flashing.</w:t>
      </w:r>
    </w:p>
    <w:p>
      <w:r>
        <w:br w:type="page"/>
      </w:r>
    </w:p>
    <w:p>
      <w:pPr>
        <w:pStyle w:val="Heading1"/>
      </w:pPr>
      <w:r>
        <w:t>Chapter 2: Background Studies</w:t>
      </w:r>
    </w:p>
    <w:p>
      <w:pPr>
        <w:pStyle w:val="Heading2"/>
      </w:pPr>
      <w:r>
        <w:t>2.1 Water Quality Parameters and Fish Biology</w:t>
      </w:r>
    </w:p>
    <w:p>
      <w:pPr>
        <w:spacing w:before="0" w:after="120"/>
        <w:jc w:val="both"/>
      </w:pPr>
      <w:r>
        <w:rPr>
          <w:b w:val="0"/>
          <w:i w:val="0"/>
          <w:sz w:val="22"/>
        </w:rPr>
        <w:t>Fish health depends directly on four measurable water parameters [5], [6].</w:t>
      </w:r>
    </w:p>
    <w:p>
      <w:pPr>
        <w:pStyle w:val="ListBullet"/>
      </w:pPr>
      <w:r>
        <w:rPr>
          <w:b w:val="0"/>
          <w:i w:val="0"/>
          <w:sz w:val="22"/>
        </w:rPr>
        <w:t>pH (6.5–8.5 safe range): Below pH 6.0, gill irritation begins. Above pH 8.8, harmless ammonium (NH4+) converts to unionized ammonia (NH3), which is acutely toxic. At pH 9.5 combined with 32°C, lethal concentrations form within hours.</w:t>
      </w:r>
    </w:p>
    <w:p>
      <w:pPr>
        <w:pStyle w:val="ListBullet"/>
      </w:pPr>
      <w:r>
        <w:rPr>
          <w:b w:val="0"/>
          <w:i w:val="0"/>
          <w:sz w:val="22"/>
        </w:rPr>
        <w:t>TDS — Total Dissolved Solids (150–450 ppm safe): High TDS signals excess unconsumed feed, organic waste, or fertilizer runoff. Above 600 ppm it causes osmotic stress and clogs gill filaments.</w:t>
      </w:r>
    </w:p>
    <w:p>
      <w:pPr>
        <w:pStyle w:val="ListBullet"/>
      </w:pPr>
      <w:r>
        <w:rPr>
          <w:b w:val="0"/>
          <w:i w:val="0"/>
          <w:sz w:val="22"/>
        </w:rPr>
        <w:t>Temperature (25–30°C safe): Warm water holds less dissolved oxygen while fish metabolism speeds up. Temperature also multiplies ammonia toxicity — the same ammonia level is 10× more toxic at 30°C than at 20°C.</w:t>
      </w:r>
    </w:p>
    <w:p>
      <w:pPr>
        <w:pStyle w:val="ListBullet"/>
      </w:pPr>
      <w:r>
        <w:rPr>
          <w:b w:val="0"/>
          <w:i w:val="0"/>
          <w:sz w:val="22"/>
        </w:rPr>
        <w:t>Pond Water Level (80–150 cm safe): Levels below 40 cm cause rapid temperature swings. Levels above 160 cm risk embankment overtopping.</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shd w:fill="1F3864" w:color="FFFFFF" w:val="clear"/>
          </w:tcPr>
          <w:p>
            <w:r>
              <w:rPr>
                <w:b/>
                <w:color w:val="FFFFFF"/>
                <w:sz w:val="20"/>
              </w:rPr>
              <w:t>Parameter</w:t>
            </w:r>
          </w:p>
        </w:tc>
        <w:tc>
          <w:tcPr>
            <w:tcW w:type="dxa" w:w="1440"/>
            <w:shd w:fill="1F3864" w:color="FFFFFF" w:val="clear"/>
          </w:tcPr>
          <w:p>
            <w:r>
              <w:rPr>
                <w:b/>
                <w:color w:val="FFFFFF"/>
                <w:sz w:val="20"/>
              </w:rPr>
              <w:t>Safe Range</w:t>
            </w:r>
          </w:p>
        </w:tc>
        <w:tc>
          <w:tcPr>
            <w:tcW w:type="dxa" w:w="1872"/>
            <w:shd w:fill="1F3864" w:color="FFFFFF" w:val="clear"/>
          </w:tcPr>
          <w:p>
            <w:r>
              <w:rPr>
                <w:b/>
                <w:color w:val="FFFFFF"/>
                <w:sz w:val="20"/>
              </w:rPr>
              <w:t>Warning</w:t>
            </w:r>
          </w:p>
        </w:tc>
        <w:tc>
          <w:tcPr>
            <w:tcW w:type="dxa" w:w="1728"/>
            <w:shd w:fill="1F3864" w:color="FFFFFF" w:val="clear"/>
          </w:tcPr>
          <w:p>
            <w:r>
              <w:rPr>
                <w:b/>
                <w:color w:val="FFFFFF"/>
                <w:sz w:val="20"/>
              </w:rPr>
              <w:t>Critical</w:t>
            </w:r>
          </w:p>
        </w:tc>
        <w:tc>
          <w:tcPr>
            <w:tcW w:type="dxa" w:w="3024"/>
            <w:shd w:fill="1F3864" w:color="FFFFFF" w:val="clear"/>
          </w:tcPr>
          <w:p>
            <w:r>
              <w:rPr>
                <w:b/>
                <w:color w:val="FFFFFF"/>
                <w:sz w:val="20"/>
              </w:rPr>
              <w:t>Biological Effect</w:t>
            </w:r>
          </w:p>
        </w:tc>
      </w:tr>
      <w:tr>
        <w:tc>
          <w:tcPr>
            <w:tcW w:type="dxa" w:w="1728"/>
            <w:shd w:fill="DCE6F1" w:val="clear"/>
          </w:tcPr>
          <w:p>
            <w:r>
              <w:rPr>
                <w:sz w:val="20"/>
              </w:rPr>
              <w:t>pH</w:t>
            </w:r>
          </w:p>
        </w:tc>
        <w:tc>
          <w:tcPr>
            <w:tcW w:type="dxa" w:w="1440"/>
            <w:shd w:fill="DCE6F1" w:val="clear"/>
          </w:tcPr>
          <w:p>
            <w:r>
              <w:rPr>
                <w:sz w:val="20"/>
              </w:rPr>
              <w:t>6.5 – 8.5</w:t>
            </w:r>
          </w:p>
        </w:tc>
        <w:tc>
          <w:tcPr>
            <w:tcW w:type="dxa" w:w="1872"/>
            <w:shd w:fill="DCE6F1" w:val="clear"/>
          </w:tcPr>
          <w:p>
            <w:r>
              <w:rPr>
                <w:sz w:val="20"/>
              </w:rPr>
              <w:t>&lt; 6.2 or &gt; 8.8</w:t>
            </w:r>
          </w:p>
        </w:tc>
        <w:tc>
          <w:tcPr>
            <w:tcW w:type="dxa" w:w="1728"/>
            <w:shd w:fill="DCE6F1" w:val="clear"/>
          </w:tcPr>
          <w:p>
            <w:r>
              <w:rPr>
                <w:sz w:val="20"/>
              </w:rPr>
              <w:t>&lt; 5.0 or &gt; 9.5</w:t>
            </w:r>
          </w:p>
        </w:tc>
        <w:tc>
          <w:tcPr>
            <w:tcW w:type="dxa" w:w="3024"/>
            <w:shd w:fill="DCE6F1" w:val="clear"/>
          </w:tcPr>
          <w:p>
            <w:r>
              <w:rPr>
                <w:sz w:val="20"/>
              </w:rPr>
              <w:t>Gill burns, ammonia toxicity</w:t>
            </w:r>
          </w:p>
        </w:tc>
      </w:tr>
      <w:tr>
        <w:tc>
          <w:tcPr>
            <w:tcW w:type="dxa" w:w="1728"/>
          </w:tcPr>
          <w:p>
            <w:r>
              <w:rPr>
                <w:sz w:val="20"/>
              </w:rPr>
              <w:t>TDS (ppm)</w:t>
            </w:r>
          </w:p>
        </w:tc>
        <w:tc>
          <w:tcPr>
            <w:tcW w:type="dxa" w:w="1440"/>
          </w:tcPr>
          <w:p>
            <w:r>
              <w:rPr>
                <w:sz w:val="20"/>
              </w:rPr>
              <w:t>150 – 450</w:t>
            </w:r>
          </w:p>
        </w:tc>
        <w:tc>
          <w:tcPr>
            <w:tcW w:type="dxa" w:w="1872"/>
          </w:tcPr>
          <w:p>
            <w:r>
              <w:rPr>
                <w:sz w:val="20"/>
              </w:rPr>
              <w:t>450 – 600</w:t>
            </w:r>
          </w:p>
        </w:tc>
        <w:tc>
          <w:tcPr>
            <w:tcW w:type="dxa" w:w="1728"/>
          </w:tcPr>
          <w:p>
            <w:r>
              <w:rPr>
                <w:sz w:val="20"/>
              </w:rPr>
              <w:t>&gt; 800</w:t>
            </w:r>
          </w:p>
        </w:tc>
        <w:tc>
          <w:tcPr>
            <w:tcW w:type="dxa" w:w="3024"/>
          </w:tcPr>
          <w:p>
            <w:r>
              <w:rPr>
                <w:sz w:val="20"/>
              </w:rPr>
              <w:t>Osmotic stress, gill clogging</w:t>
            </w:r>
          </w:p>
        </w:tc>
      </w:tr>
      <w:tr>
        <w:tc>
          <w:tcPr>
            <w:tcW w:type="dxa" w:w="1728"/>
            <w:shd w:fill="DCE6F1" w:val="clear"/>
          </w:tcPr>
          <w:p>
            <w:r>
              <w:rPr>
                <w:sz w:val="20"/>
              </w:rPr>
              <w:t>Temperature (°C)</w:t>
            </w:r>
          </w:p>
        </w:tc>
        <w:tc>
          <w:tcPr>
            <w:tcW w:type="dxa" w:w="1440"/>
            <w:shd w:fill="DCE6F1" w:val="clear"/>
          </w:tcPr>
          <w:p>
            <w:r>
              <w:rPr>
                <w:sz w:val="20"/>
              </w:rPr>
              <w:t>25 – 30</w:t>
            </w:r>
          </w:p>
        </w:tc>
        <w:tc>
          <w:tcPr>
            <w:tcW w:type="dxa" w:w="1872"/>
            <w:shd w:fill="DCE6F1" w:val="clear"/>
          </w:tcPr>
          <w:p>
            <w:r>
              <w:rPr>
                <w:sz w:val="20"/>
              </w:rPr>
              <w:t>30 – 33 or &lt; 20</w:t>
            </w:r>
          </w:p>
        </w:tc>
        <w:tc>
          <w:tcPr>
            <w:tcW w:type="dxa" w:w="1728"/>
            <w:shd w:fill="DCE6F1" w:val="clear"/>
          </w:tcPr>
          <w:p>
            <w:r>
              <w:rPr>
                <w:sz w:val="20"/>
              </w:rPr>
              <w:t>&gt; 35 or &lt; 15</w:t>
            </w:r>
          </w:p>
        </w:tc>
        <w:tc>
          <w:tcPr>
            <w:tcW w:type="dxa" w:w="3024"/>
            <w:shd w:fill="DCE6F1" w:val="clear"/>
          </w:tcPr>
          <w:p>
            <w:r>
              <w:rPr>
                <w:sz w:val="20"/>
              </w:rPr>
              <w:t>Low oxygen, metabolic collapse</w:t>
            </w:r>
          </w:p>
        </w:tc>
      </w:tr>
      <w:tr>
        <w:tc>
          <w:tcPr>
            <w:tcW w:type="dxa" w:w="1728"/>
          </w:tcPr>
          <w:p>
            <w:r>
              <w:rPr>
                <w:sz w:val="20"/>
              </w:rPr>
              <w:t>Water Level (cm)</w:t>
            </w:r>
          </w:p>
        </w:tc>
        <w:tc>
          <w:tcPr>
            <w:tcW w:type="dxa" w:w="1440"/>
          </w:tcPr>
          <w:p>
            <w:r>
              <w:rPr>
                <w:sz w:val="20"/>
              </w:rPr>
              <w:t>80 – 150</w:t>
            </w:r>
          </w:p>
        </w:tc>
        <w:tc>
          <w:tcPr>
            <w:tcW w:type="dxa" w:w="1872"/>
          </w:tcPr>
          <w:p>
            <w:r>
              <w:rPr>
                <w:sz w:val="20"/>
              </w:rPr>
              <w:t>&lt; 60 or &gt; 160</w:t>
            </w:r>
          </w:p>
        </w:tc>
        <w:tc>
          <w:tcPr>
            <w:tcW w:type="dxa" w:w="1728"/>
          </w:tcPr>
          <w:p>
            <w:r>
              <w:rPr>
                <w:sz w:val="20"/>
              </w:rPr>
              <w:t>&lt; 40 or &gt; 180</w:t>
            </w:r>
          </w:p>
        </w:tc>
        <w:tc>
          <w:tcPr>
            <w:tcW w:type="dxa" w:w="3024"/>
          </w:tcPr>
          <w:p>
            <w:r>
              <w:rPr>
                <w:sz w:val="20"/>
              </w:rPr>
              <w:t>Dike overtopping, fish escape</w:t>
            </w:r>
          </w:p>
        </w:tc>
      </w:tr>
    </w:tbl>
    <w:p/>
    <w:p>
      <w:pPr>
        <w:spacing w:before="0" w:after="120"/>
        <w:jc w:val="center"/>
      </w:pPr>
      <w:r>
        <w:rPr>
          <w:b w:val="0"/>
          <w:i/>
          <w:sz w:val="20"/>
        </w:rPr>
        <w:t>Table 2.1. Water Quality Safety Thresholds for Cultured Fish Species</w:t>
      </w:r>
    </w:p>
    <w:p>
      <w:pPr>
        <w:pStyle w:val="Heading2"/>
      </w:pPr>
      <w:r>
        <w:t>2.2 Monsoon Flooding in the Jamuna Basin</w:t>
      </w:r>
    </w:p>
    <w:p>
      <w:pPr>
        <w:spacing w:before="0" w:after="120"/>
        <w:jc w:val="both"/>
      </w:pPr>
      <w:r>
        <w:rPr>
          <w:b w:val="0"/>
          <w:i w:val="0"/>
          <w:sz w:val="22"/>
        </w:rPr>
        <w:t>Over 92% of the Jamuna catchment lies outside Bangladesh, in the Himalayas and Meghalaya hills of India. Heavy monsoon rainfall from June to October creates large discharge pulses that travel downstream. At the Bahadurabad Transit gauge in Jamalpur, water levels regularly exceed the 19.05 m official Danger Level. In 2020, the level reached 20.63 m, submerging over 40,000 hectares of fish ponds and causing losses exceeding 500 crore BDT ($45M USD) [3]. Fish farmers need a 3–7 day advance warning at the Bahadurabad gauge specifically — enough time to raise perimeter netting or harvest marketable fish before floodwater arrives.</w:t>
      </w:r>
    </w:p>
    <w:p>
      <w:pPr>
        <w:pStyle w:val="Heading2"/>
      </w:pPr>
      <w:r>
        <w:t>2.3 Related IoT Aquaculture Systems</w:t>
      </w:r>
    </w:p>
    <w:p>
      <w:pPr>
        <w:spacing w:before="0" w:after="120"/>
        <w:jc w:val="both"/>
      </w:pPr>
      <w:r>
        <w:rPr>
          <w:b w:val="0"/>
          <w:i w:val="0"/>
          <w:sz w:val="22"/>
        </w:rPr>
        <w:t>Prior IoT systems each have specific gaps [7]–[12]: early Arduino + ZigBee systems had no pump control; ESP8266/ESP32 systems on ThingSpeak or Blynk fully depended on continuous internet; and commercial PLC systems cost $2,000–$10,000, completely unaffordable for rural farmers. No existing affordable system combines local offline-safe pump control, flood early warning, and unsupervised anomaly detection in a single platform under $60.</w:t>
      </w:r>
    </w:p>
    <w:p>
      <w:pPr>
        <w:pStyle w:val="Heading2"/>
      </w:pPr>
      <w:r>
        <w:t>2.4 Machine Learning for Flood Forecasting</w:t>
      </w:r>
    </w:p>
    <w:p>
      <w:pPr>
        <w:spacing w:before="0" w:after="120"/>
        <w:jc w:val="both"/>
      </w:pPr>
      <w:r>
        <w:rPr>
          <w:b w:val="0"/>
          <w:i w:val="0"/>
          <w:sz w:val="22"/>
        </w:rPr>
        <w:t>Linear regression and tree ensembles trained on historical gauge data can achieve strong NSE values on multi-day forecast horizons [4]. A critical and often unreported limitation of tree models is that they cannot extrapolate beyond the maximum water level seen in training data — a fatal failure mode for record-breaking flood seasons. Leave-One-Year-Out (LOYO) cross-validation, borrowed from hydrology literature [19], prevents the temporal data leakage that standard K-Fold cross-validation would introduce.</w:t>
      </w:r>
    </w:p>
    <w:p>
      <w:r>
        <w:br w:type="page"/>
      </w:r>
    </w:p>
    <w:p>
      <w:pPr>
        <w:pStyle w:val="Heading1"/>
      </w:pPr>
      <w:r>
        <w:t>Chapter 3: Methodology</w:t>
      </w:r>
    </w:p>
    <w:p>
      <w:pPr>
        <w:pStyle w:val="Heading2"/>
      </w:pPr>
      <w:r>
        <w:t>3.1 System Architecture Overview</w:t>
      </w:r>
    </w:p>
    <w:p>
      <w:pPr>
        <w:spacing w:before="0" w:after="120"/>
        <w:jc w:val="both"/>
      </w:pPr>
      <w:r>
        <w:rPr>
          <w:b w:val="0"/>
          <w:i w:val="0"/>
          <w:sz w:val="22"/>
        </w:rPr>
        <w:t>AquaGuard is organized into five tiers:</w:t>
      </w:r>
    </w:p>
    <w:p>
      <w:pPr>
        <w:pStyle w:val="ListBullet"/>
      </w:pPr>
      <w:r>
        <w:rPr>
          <w:b w:val="0"/>
          <w:i w:val="0"/>
          <w:sz w:val="22"/>
        </w:rPr>
        <w:t>Sensor Tier: Physical sensors on the ESP32 (pH, TDS, Temperature, Water Level)</w:t>
      </w:r>
    </w:p>
    <w:p>
      <w:pPr>
        <w:pStyle w:val="ListBullet"/>
      </w:pPr>
      <w:r>
        <w:rPr>
          <w:b w:val="0"/>
          <w:i w:val="0"/>
          <w:sz w:val="22"/>
        </w:rPr>
        <w:t>Edge Control Tier: Local FSM rules on the ESP32 — controls pumps and feeder independently of internet</w:t>
      </w:r>
    </w:p>
    <w:p>
      <w:pPr>
        <w:pStyle w:val="ListBullet"/>
      </w:pPr>
      <w:r>
        <w:rPr>
          <w:b w:val="0"/>
          <w:i w:val="0"/>
          <w:sz w:val="22"/>
        </w:rPr>
        <w:t>Cloud Data Tier: Firebase Realtime Database for live telemetry and pump command states</w:t>
      </w:r>
    </w:p>
    <w:p>
      <w:pPr>
        <w:pStyle w:val="ListBullet"/>
      </w:pPr>
      <w:r>
        <w:rPr>
          <w:b w:val="0"/>
          <w:i w:val="0"/>
          <w:sz w:val="22"/>
        </w:rPr>
        <w:t>ML Prediction Tier: Python FastAPI backend (api_combined.py) serving all three models on Port 8000</w:t>
      </w:r>
    </w:p>
    <w:p>
      <w:pPr>
        <w:pStyle w:val="ListBullet"/>
      </w:pPr>
      <w:r>
        <w:rPr>
          <w:b w:val="0"/>
          <w:i w:val="0"/>
          <w:sz w:val="22"/>
        </w:rPr>
        <w:t>User Interface Tier: Vanilla HTML/JS/CSS web dashboard with live dials, charts, alert banners, and pH calibration page</w:t>
      </w:r>
    </w:p>
    <w:p>
      <w:pPr>
        <w:pStyle w:val="Heading2"/>
      </w:pPr>
      <w:r>
        <w:t>3.2 Hardware Sensor Equations</w:t>
      </w:r>
    </w:p>
    <w:p>
      <w:pPr>
        <w:spacing w:before="0" w:after="120"/>
        <w:jc w:val="both"/>
      </w:pPr>
      <w:r>
        <w:rPr>
          <w:b w:val="0"/>
          <w:i w:val="0"/>
          <w:sz w:val="22"/>
        </w:rPr>
        <w:t>The PH4502C module was powered at 3.3V (not the standard 5V) to protect the ESP32 ADC pins, which have a maximum input of 3.3V. The analog voltage output is converted to pH using the two-point calibration formula:</w:t>
      </w:r>
    </w:p>
    <w:p>
      <w:pPr>
        <w:jc w:val="center"/>
      </w:pPr>
      <w:r>
        <w:rPr>
          <w:b w:val="0"/>
          <w:i/>
          <w:sz w:val="22"/>
        </w:rPr>
        <w:t>pH  =  7.0  +  (V_cal  −  V_out) / S</w:t>
      </w:r>
      <w:r>
        <w:rPr>
          <w:b w:val="0"/>
          <w:i w:val="0"/>
          <w:sz w:val="20"/>
        </w:rPr>
        <w:t xml:space="preserve">  ... (3.1)</w:t>
      </w:r>
    </w:p>
    <w:p>
      <w:pPr>
        <w:spacing w:before="0" w:after="120"/>
        <w:jc w:val="both"/>
      </w:pPr>
      <w:r>
        <w:rPr>
          <w:b w:val="0"/>
          <w:i w:val="0"/>
          <w:sz w:val="22"/>
        </w:rPr>
        <w:t>where V_cal is the voltage at pH 7.0, V_out is the measured voltage, and S is the probe slope (mV per pH unit).</w:t>
      </w:r>
    </w:p>
    <w:p>
      <w:pPr>
        <w:spacing w:before="0" w:after="120"/>
        <w:jc w:val="both"/>
      </w:pPr>
      <w:r>
        <w:rPr>
          <w:b w:val="0"/>
          <w:i w:val="0"/>
          <w:sz w:val="22"/>
        </w:rPr>
        <w:t>Temperature compensation adjusts the raw ADC reading:</w:t>
      </w:r>
    </w:p>
    <w:p>
      <w:pPr>
        <w:jc w:val="center"/>
      </w:pPr>
      <w:r>
        <w:rPr>
          <w:b w:val="0"/>
          <w:i/>
          <w:sz w:val="22"/>
        </w:rPr>
        <w:t>V_comp  =  V_adc  /  [ 1.0 + 0.02 × (T − 25.0) ]</w:t>
      </w:r>
      <w:r>
        <w:rPr>
          <w:b w:val="0"/>
          <w:i w:val="0"/>
          <w:sz w:val="20"/>
        </w:rPr>
        <w:t xml:space="preserve">  ... (3.2)</w:t>
      </w:r>
    </w:p>
    <w:p>
      <w:pPr>
        <w:spacing w:before="0" w:after="120"/>
        <w:jc w:val="both"/>
      </w:pPr>
      <w:r>
        <w:rPr>
          <w:b w:val="0"/>
          <w:i/>
          <w:sz w:val="22"/>
        </w:rPr>
        <w:t>Calibration reference points: vinegar (~pH 2.4) as the acid reference and baking soda solution (~pH 8.3) as the base reference. Because the sensor output voltage is inverted (vinegar gives a higher voltage), the calibration order in firmware was reversed — vinegar stored as 'base', baking soda as 'acid'. Both values are saved to ESP32 Non-Volatile Storage (NVS) and survive power cycles.</w:t>
      </w:r>
    </w:p>
    <w:p>
      <w:pPr>
        <w:spacing w:before="0" w:after="120"/>
        <w:jc w:val="both"/>
      </w:pPr>
      <w:r>
        <w:rPr>
          <w:b w:val="0"/>
          <w:i w:val="0"/>
          <w:sz w:val="22"/>
        </w:rPr>
        <w:t>Water level from the HC-SR04 ultrasonic sensor:</w:t>
      </w:r>
    </w:p>
    <w:p>
      <w:pPr>
        <w:jc w:val="center"/>
      </w:pPr>
      <w:r>
        <w:rPr>
          <w:b w:val="0"/>
          <w:i/>
          <w:sz w:val="22"/>
        </w:rPr>
        <w:t>Water Level  =  Pond Depth  −  ( t_echo × v_sound ) / 2</w:t>
      </w:r>
      <w:r>
        <w:rPr>
          <w:b w:val="0"/>
          <w:i w:val="0"/>
          <w:sz w:val="20"/>
        </w:rPr>
        <w:t xml:space="preserve">  ... (3.3)</w:t>
      </w:r>
    </w:p>
    <w:p>
      <w:pPr>
        <w:spacing w:before="0" w:after="120"/>
        <w:jc w:val="both"/>
      </w:pPr>
      <w:r>
        <w:rPr>
          <w:b w:val="0"/>
          <w:i w:val="0"/>
          <w:sz w:val="22"/>
        </w:rPr>
        <w:t>The HC-SR04 ECHO pin outputs 5V logic. A 1 kΩ / 2 kΩ resistor voltage divider steps this down to 3.3V before reaching GPIO 18 on the ESP32.</w:t>
      </w:r>
    </w:p>
    <w:p>
      <w:pPr>
        <w:pStyle w:val="Heading2"/>
      </w:pPr>
      <w:r>
        <w:t>3.3 Bill of Materials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168"/>
            <w:shd w:fill="1F3864" w:color="FFFFFF" w:val="clear"/>
          </w:tcPr>
          <w:p>
            <w:r>
              <w:rPr>
                <w:b/>
                <w:color w:val="FFFFFF"/>
                <w:sz w:val="20"/>
              </w:rPr>
              <w:t>Component</w:t>
            </w:r>
          </w:p>
        </w:tc>
        <w:tc>
          <w:tcPr>
            <w:tcW w:type="dxa" w:w="720"/>
            <w:shd w:fill="1F3864" w:color="FFFFFF" w:val="clear"/>
          </w:tcPr>
          <w:p>
            <w:r>
              <w:rPr>
                <w:b/>
                <w:color w:val="FFFFFF"/>
                <w:sz w:val="20"/>
              </w:rPr>
              <w:t>Qty</w:t>
            </w:r>
          </w:p>
        </w:tc>
        <w:tc>
          <w:tcPr>
            <w:tcW w:type="dxa" w:w="1440"/>
            <w:shd w:fill="1F3864" w:color="FFFFFF" w:val="clear"/>
          </w:tcPr>
          <w:p>
            <w:r>
              <w:rPr>
                <w:b/>
                <w:color w:val="FFFFFF"/>
                <w:sz w:val="20"/>
              </w:rPr>
              <w:t>Unit (BDT)</w:t>
            </w:r>
          </w:p>
        </w:tc>
        <w:tc>
          <w:tcPr>
            <w:tcW w:type="dxa" w:w="1584"/>
            <w:shd w:fill="1F3864" w:color="FFFFFF" w:val="clear"/>
          </w:tcPr>
          <w:p>
            <w:r>
              <w:rPr>
                <w:b/>
                <w:color w:val="FFFFFF"/>
                <w:sz w:val="20"/>
              </w:rPr>
              <w:t>Total (BDT)</w:t>
            </w:r>
          </w:p>
        </w:tc>
        <w:tc>
          <w:tcPr>
            <w:tcW w:type="dxa" w:w="2880"/>
            <w:shd w:fill="1F3864" w:color="FFFFFF" w:val="clear"/>
          </w:tcPr>
          <w:p>
            <w:r>
              <w:rPr>
                <w:b/>
                <w:color w:val="FFFFFF"/>
                <w:sz w:val="20"/>
              </w:rPr>
              <w:t>Function</w:t>
            </w:r>
          </w:p>
        </w:tc>
      </w:tr>
      <w:tr>
        <w:tc>
          <w:tcPr>
            <w:tcW w:type="dxa" w:w="3168"/>
            <w:shd w:fill="DCE6F1" w:val="clear"/>
          </w:tcPr>
          <w:p>
            <w:r>
              <w:rPr>
                <w:sz w:val="20"/>
              </w:rPr>
              <w:t>ESP32 WROOM-32</w:t>
            </w:r>
          </w:p>
        </w:tc>
        <w:tc>
          <w:tcPr>
            <w:tcW w:type="dxa" w:w="720"/>
            <w:shd w:fill="DCE6F1" w:val="clear"/>
          </w:tcPr>
          <w:p>
            <w:r>
              <w:rPr>
                <w:sz w:val="20"/>
              </w:rPr>
              <w:t>1</w:t>
            </w:r>
          </w:p>
        </w:tc>
        <w:tc>
          <w:tcPr>
            <w:tcW w:type="dxa" w:w="1440"/>
            <w:shd w:fill="DCE6F1" w:val="clear"/>
          </w:tcPr>
          <w:p>
            <w:r>
              <w:rPr>
                <w:sz w:val="20"/>
              </w:rPr>
              <w:t>650</w:t>
            </w:r>
          </w:p>
        </w:tc>
        <w:tc>
          <w:tcPr>
            <w:tcW w:type="dxa" w:w="1584"/>
            <w:shd w:fill="DCE6F1" w:val="clear"/>
          </w:tcPr>
          <w:p>
            <w:r>
              <w:rPr>
                <w:sz w:val="20"/>
              </w:rPr>
              <w:t>650</w:t>
            </w:r>
          </w:p>
        </w:tc>
        <w:tc>
          <w:tcPr>
            <w:tcW w:type="dxa" w:w="2880"/>
            <w:shd w:fill="DCE6F1" w:val="clear"/>
          </w:tcPr>
          <w:p>
            <w:r>
              <w:rPr>
                <w:sz w:val="20"/>
              </w:rPr>
              <w:t>Main microcontroller</w:t>
            </w:r>
          </w:p>
        </w:tc>
      </w:tr>
      <w:tr>
        <w:tc>
          <w:tcPr>
            <w:tcW w:type="dxa" w:w="3168"/>
          </w:tcPr>
          <w:p>
            <w:r>
              <w:rPr>
                <w:sz w:val="20"/>
              </w:rPr>
              <w:t>pH Sensor (PH4502C)</w:t>
            </w:r>
          </w:p>
        </w:tc>
        <w:tc>
          <w:tcPr>
            <w:tcW w:type="dxa" w:w="720"/>
          </w:tcPr>
          <w:p>
            <w:r>
              <w:rPr>
                <w:sz w:val="20"/>
              </w:rPr>
              <w:t>1</w:t>
            </w:r>
          </w:p>
        </w:tc>
        <w:tc>
          <w:tcPr>
            <w:tcW w:type="dxa" w:w="1440"/>
          </w:tcPr>
          <w:p>
            <w:r>
              <w:rPr>
                <w:sz w:val="20"/>
              </w:rPr>
              <w:t>1,850</w:t>
            </w:r>
          </w:p>
        </w:tc>
        <w:tc>
          <w:tcPr>
            <w:tcW w:type="dxa" w:w="1584"/>
          </w:tcPr>
          <w:p>
            <w:r>
              <w:rPr>
                <w:sz w:val="20"/>
              </w:rPr>
              <w:t>1,850</w:t>
            </w:r>
          </w:p>
        </w:tc>
        <w:tc>
          <w:tcPr>
            <w:tcW w:type="dxa" w:w="2880"/>
          </w:tcPr>
          <w:p>
            <w:r>
              <w:rPr>
                <w:sz w:val="20"/>
              </w:rPr>
              <w:t>Pond pH measurement</w:t>
            </w:r>
          </w:p>
        </w:tc>
      </w:tr>
      <w:tr>
        <w:tc>
          <w:tcPr>
            <w:tcW w:type="dxa" w:w="3168"/>
            <w:shd w:fill="DCE6F1" w:val="clear"/>
          </w:tcPr>
          <w:p>
            <w:r>
              <w:rPr>
                <w:sz w:val="20"/>
              </w:rPr>
              <w:t>TDS Sensor Module</w:t>
            </w:r>
          </w:p>
        </w:tc>
        <w:tc>
          <w:tcPr>
            <w:tcW w:type="dxa" w:w="720"/>
            <w:shd w:fill="DCE6F1" w:val="clear"/>
          </w:tcPr>
          <w:p>
            <w:r>
              <w:rPr>
                <w:sz w:val="20"/>
              </w:rPr>
              <w:t>1</w:t>
            </w:r>
          </w:p>
        </w:tc>
        <w:tc>
          <w:tcPr>
            <w:tcW w:type="dxa" w:w="1440"/>
            <w:shd w:fill="DCE6F1" w:val="clear"/>
          </w:tcPr>
          <w:p>
            <w:r>
              <w:rPr>
                <w:sz w:val="20"/>
              </w:rPr>
              <w:t>185</w:t>
            </w:r>
          </w:p>
        </w:tc>
        <w:tc>
          <w:tcPr>
            <w:tcW w:type="dxa" w:w="1584"/>
            <w:shd w:fill="DCE6F1" w:val="clear"/>
          </w:tcPr>
          <w:p>
            <w:r>
              <w:rPr>
                <w:sz w:val="20"/>
              </w:rPr>
              <w:t>185</w:t>
            </w:r>
          </w:p>
        </w:tc>
        <w:tc>
          <w:tcPr>
            <w:tcW w:type="dxa" w:w="2880"/>
            <w:shd w:fill="DCE6F1" w:val="clear"/>
          </w:tcPr>
          <w:p>
            <w:r>
              <w:rPr>
                <w:sz w:val="20"/>
              </w:rPr>
              <w:t>Dissolved solids measurement</w:t>
            </w:r>
          </w:p>
        </w:tc>
      </w:tr>
      <w:tr>
        <w:tc>
          <w:tcPr>
            <w:tcW w:type="dxa" w:w="3168"/>
          </w:tcPr>
          <w:p>
            <w:r>
              <w:rPr>
                <w:sz w:val="20"/>
              </w:rPr>
              <w:t>NTC Thermistor</w:t>
            </w:r>
          </w:p>
        </w:tc>
        <w:tc>
          <w:tcPr>
            <w:tcW w:type="dxa" w:w="720"/>
          </w:tcPr>
          <w:p>
            <w:r>
              <w:rPr>
                <w:sz w:val="20"/>
              </w:rPr>
              <w:t>1</w:t>
            </w:r>
          </w:p>
        </w:tc>
        <w:tc>
          <w:tcPr>
            <w:tcW w:type="dxa" w:w="1440"/>
          </w:tcPr>
          <w:p>
            <w:r>
              <w:rPr>
                <w:sz w:val="20"/>
              </w:rPr>
              <w:t>40</w:t>
            </w:r>
          </w:p>
        </w:tc>
        <w:tc>
          <w:tcPr>
            <w:tcW w:type="dxa" w:w="1584"/>
          </w:tcPr>
          <w:p>
            <w:r>
              <w:rPr>
                <w:sz w:val="20"/>
              </w:rPr>
              <w:t>40</w:t>
            </w:r>
          </w:p>
        </w:tc>
        <w:tc>
          <w:tcPr>
            <w:tcW w:type="dxa" w:w="2880"/>
          </w:tcPr>
          <w:p>
            <w:r>
              <w:rPr>
                <w:sz w:val="20"/>
              </w:rPr>
              <w:t>Water temperature</w:t>
            </w:r>
          </w:p>
        </w:tc>
      </w:tr>
      <w:tr>
        <w:tc>
          <w:tcPr>
            <w:tcW w:type="dxa" w:w="3168"/>
            <w:shd w:fill="DCE6F1" w:val="clear"/>
          </w:tcPr>
          <w:p>
            <w:r>
              <w:rPr>
                <w:sz w:val="20"/>
              </w:rPr>
              <w:t>HC-SR04 Ultrasonic</w:t>
            </w:r>
          </w:p>
        </w:tc>
        <w:tc>
          <w:tcPr>
            <w:tcW w:type="dxa" w:w="720"/>
            <w:shd w:fill="DCE6F1" w:val="clear"/>
          </w:tcPr>
          <w:p>
            <w:r>
              <w:rPr>
                <w:sz w:val="20"/>
              </w:rPr>
              <w:t>1</w:t>
            </w:r>
          </w:p>
        </w:tc>
        <w:tc>
          <w:tcPr>
            <w:tcW w:type="dxa" w:w="1440"/>
            <w:shd w:fill="DCE6F1" w:val="clear"/>
          </w:tcPr>
          <w:p>
            <w:r>
              <w:rPr>
                <w:sz w:val="20"/>
              </w:rPr>
              <w:t>120</w:t>
            </w:r>
          </w:p>
        </w:tc>
        <w:tc>
          <w:tcPr>
            <w:tcW w:type="dxa" w:w="1584"/>
            <w:shd w:fill="DCE6F1" w:val="clear"/>
          </w:tcPr>
          <w:p>
            <w:r>
              <w:rPr>
                <w:sz w:val="20"/>
              </w:rPr>
              <w:t>120</w:t>
            </w:r>
          </w:p>
        </w:tc>
        <w:tc>
          <w:tcPr>
            <w:tcW w:type="dxa" w:w="2880"/>
            <w:shd w:fill="DCE6F1" w:val="clear"/>
          </w:tcPr>
          <w:p>
            <w:r>
              <w:rPr>
                <w:sz w:val="20"/>
              </w:rPr>
              <w:t>Water depth measurement</w:t>
            </w:r>
          </w:p>
        </w:tc>
      </w:tr>
      <w:tr>
        <w:tc>
          <w:tcPr>
            <w:tcW w:type="dxa" w:w="3168"/>
          </w:tcPr>
          <w:p>
            <w:r>
              <w:rPr>
                <w:sz w:val="20"/>
              </w:rPr>
              <w:t>2-Channel Relay Module</w:t>
            </w:r>
          </w:p>
        </w:tc>
        <w:tc>
          <w:tcPr>
            <w:tcW w:type="dxa" w:w="720"/>
          </w:tcPr>
          <w:p>
            <w:r>
              <w:rPr>
                <w:sz w:val="20"/>
              </w:rPr>
              <w:t>1</w:t>
            </w:r>
          </w:p>
        </w:tc>
        <w:tc>
          <w:tcPr>
            <w:tcW w:type="dxa" w:w="1440"/>
          </w:tcPr>
          <w:p>
            <w:r>
              <w:rPr>
                <w:sz w:val="20"/>
              </w:rPr>
              <w:t>645</w:t>
            </w:r>
          </w:p>
        </w:tc>
        <w:tc>
          <w:tcPr>
            <w:tcW w:type="dxa" w:w="1584"/>
          </w:tcPr>
          <w:p>
            <w:r>
              <w:rPr>
                <w:sz w:val="20"/>
              </w:rPr>
              <w:t>645</w:t>
            </w:r>
          </w:p>
        </w:tc>
        <w:tc>
          <w:tcPr>
            <w:tcW w:type="dxa" w:w="2880"/>
          </w:tcPr>
          <w:p>
            <w:r>
              <w:rPr>
                <w:sz w:val="20"/>
              </w:rPr>
              <w:t>Pump control</w:t>
            </w:r>
          </w:p>
        </w:tc>
      </w:tr>
      <w:tr>
        <w:tc>
          <w:tcPr>
            <w:tcW w:type="dxa" w:w="3168"/>
            <w:shd w:fill="DCE6F1" w:val="clear"/>
          </w:tcPr>
          <w:p>
            <w:r>
              <w:rPr>
                <w:sz w:val="20"/>
              </w:rPr>
              <w:t>Submersible Pump ×2</w:t>
            </w:r>
          </w:p>
        </w:tc>
        <w:tc>
          <w:tcPr>
            <w:tcW w:type="dxa" w:w="720"/>
            <w:shd w:fill="DCE6F1" w:val="clear"/>
          </w:tcPr>
          <w:p>
            <w:r>
              <w:rPr>
                <w:sz w:val="20"/>
              </w:rPr>
              <w:t>2</w:t>
            </w:r>
          </w:p>
        </w:tc>
        <w:tc>
          <w:tcPr>
            <w:tcW w:type="dxa" w:w="1440"/>
            <w:shd w:fill="DCE6F1" w:val="clear"/>
          </w:tcPr>
          <w:p>
            <w:r>
              <w:rPr>
                <w:sz w:val="20"/>
              </w:rPr>
              <w:t>325</w:t>
            </w:r>
          </w:p>
        </w:tc>
        <w:tc>
          <w:tcPr>
            <w:tcW w:type="dxa" w:w="1584"/>
            <w:shd w:fill="DCE6F1" w:val="clear"/>
          </w:tcPr>
          <w:p>
            <w:r>
              <w:rPr>
                <w:sz w:val="20"/>
              </w:rPr>
              <w:t>650</w:t>
            </w:r>
          </w:p>
        </w:tc>
        <w:tc>
          <w:tcPr>
            <w:tcW w:type="dxa" w:w="2880"/>
            <w:shd w:fill="DCE6F1" w:val="clear"/>
          </w:tcPr>
          <w:p>
            <w:r>
              <w:rPr>
                <w:sz w:val="20"/>
              </w:rPr>
              <w:t>Drain and refill</w:t>
            </w:r>
          </w:p>
        </w:tc>
      </w:tr>
      <w:tr>
        <w:tc>
          <w:tcPr>
            <w:tcW w:type="dxa" w:w="3168"/>
          </w:tcPr>
          <w:p>
            <w:r>
              <w:rPr>
                <w:sz w:val="20"/>
              </w:rPr>
              <w:t>Servo Motor</w:t>
            </w:r>
          </w:p>
        </w:tc>
        <w:tc>
          <w:tcPr>
            <w:tcW w:type="dxa" w:w="720"/>
          </w:tcPr>
          <w:p>
            <w:r>
              <w:rPr>
                <w:sz w:val="20"/>
              </w:rPr>
              <w:t>1</w:t>
            </w:r>
          </w:p>
        </w:tc>
        <w:tc>
          <w:tcPr>
            <w:tcW w:type="dxa" w:w="1440"/>
          </w:tcPr>
          <w:p>
            <w:r>
              <w:rPr>
                <w:sz w:val="20"/>
              </w:rPr>
              <w:t>500</w:t>
            </w:r>
          </w:p>
        </w:tc>
        <w:tc>
          <w:tcPr>
            <w:tcW w:type="dxa" w:w="1584"/>
          </w:tcPr>
          <w:p>
            <w:r>
              <w:rPr>
                <w:sz w:val="20"/>
              </w:rPr>
              <w:t>500</w:t>
            </w:r>
          </w:p>
        </w:tc>
        <w:tc>
          <w:tcPr>
            <w:tcW w:type="dxa" w:w="2880"/>
          </w:tcPr>
          <w:p>
            <w:r>
              <w:rPr>
                <w:sz w:val="20"/>
              </w:rPr>
              <w:t>Automated feeder</w:t>
            </w:r>
          </w:p>
        </w:tc>
      </w:tr>
      <w:tr>
        <w:tc>
          <w:tcPr>
            <w:tcW w:type="dxa" w:w="3168"/>
            <w:shd w:fill="DCE6F1" w:val="clear"/>
          </w:tcPr>
          <w:p>
            <w:r>
              <w:rPr>
                <w:sz w:val="20"/>
              </w:rPr>
              <w:t>LM2596 Buck Converter</w:t>
            </w:r>
          </w:p>
        </w:tc>
        <w:tc>
          <w:tcPr>
            <w:tcW w:type="dxa" w:w="720"/>
            <w:shd w:fill="DCE6F1" w:val="clear"/>
          </w:tcPr>
          <w:p>
            <w:r>
              <w:rPr>
                <w:sz w:val="20"/>
              </w:rPr>
              <w:t>1</w:t>
            </w:r>
          </w:p>
        </w:tc>
        <w:tc>
          <w:tcPr>
            <w:tcW w:type="dxa" w:w="1440"/>
            <w:shd w:fill="DCE6F1" w:val="clear"/>
          </w:tcPr>
          <w:p>
            <w:r>
              <w:rPr>
                <w:sz w:val="20"/>
              </w:rPr>
              <w:t>150</w:t>
            </w:r>
          </w:p>
        </w:tc>
        <w:tc>
          <w:tcPr>
            <w:tcW w:type="dxa" w:w="1584"/>
            <w:shd w:fill="DCE6F1" w:val="clear"/>
          </w:tcPr>
          <w:p>
            <w:r>
              <w:rPr>
                <w:sz w:val="20"/>
              </w:rPr>
              <w:t>150</w:t>
            </w:r>
          </w:p>
        </w:tc>
        <w:tc>
          <w:tcPr>
            <w:tcW w:type="dxa" w:w="2880"/>
            <w:shd w:fill="DCE6F1" w:val="clear"/>
          </w:tcPr>
          <w:p>
            <w:r>
              <w:rPr>
                <w:sz w:val="20"/>
              </w:rPr>
              <w:t>Voltage regulation</w:t>
            </w:r>
          </w:p>
        </w:tc>
      </w:tr>
      <w:tr>
        <w:tc>
          <w:tcPr>
            <w:tcW w:type="dxa" w:w="3168"/>
          </w:tcPr>
          <w:p>
            <w:r>
              <w:rPr>
                <w:sz w:val="20"/>
              </w:rPr>
              <w:t>Resistors, capacitors, wire</w:t>
            </w:r>
          </w:p>
        </w:tc>
        <w:tc>
          <w:tcPr>
            <w:tcW w:type="dxa" w:w="720"/>
          </w:tcPr>
          <w:p>
            <w:r>
              <w:rPr>
                <w:sz w:val="20"/>
              </w:rPr>
              <w:t>–</w:t>
            </w:r>
          </w:p>
        </w:tc>
        <w:tc>
          <w:tcPr>
            <w:tcW w:type="dxa" w:w="1440"/>
          </w:tcPr>
          <w:p>
            <w:r>
              <w:rPr>
                <w:sz w:val="20"/>
              </w:rPr>
              <w:t>130</w:t>
            </w:r>
          </w:p>
        </w:tc>
        <w:tc>
          <w:tcPr>
            <w:tcW w:type="dxa" w:w="1584"/>
          </w:tcPr>
          <w:p>
            <w:r>
              <w:rPr>
                <w:sz w:val="20"/>
              </w:rPr>
              <w:t>130</w:t>
            </w:r>
          </w:p>
        </w:tc>
        <w:tc>
          <w:tcPr>
            <w:tcW w:type="dxa" w:w="2880"/>
          </w:tcPr>
          <w:p>
            <w:r>
              <w:rPr>
                <w:sz w:val="20"/>
              </w:rPr>
              <w:t>Voltage dividers, filtering</w:t>
            </w:r>
          </w:p>
        </w:tc>
      </w:tr>
      <w:tr>
        <w:tc>
          <w:tcPr>
            <w:tcW w:type="dxa" w:w="3168"/>
            <w:shd w:fill="DCE6F1" w:val="clear"/>
          </w:tcPr>
          <w:p>
            <w:r>
              <w:rPr>
                <w:sz w:val="20"/>
              </w:rPr>
              <w:t>Breadboard / PCB</w:t>
            </w:r>
          </w:p>
        </w:tc>
        <w:tc>
          <w:tcPr>
            <w:tcW w:type="dxa" w:w="720"/>
            <w:shd w:fill="DCE6F1" w:val="clear"/>
          </w:tcPr>
          <w:p>
            <w:r>
              <w:rPr>
                <w:sz w:val="20"/>
              </w:rPr>
              <w:t>1</w:t>
            </w:r>
          </w:p>
        </w:tc>
        <w:tc>
          <w:tcPr>
            <w:tcW w:type="dxa" w:w="1440"/>
            <w:shd w:fill="DCE6F1" w:val="clear"/>
          </w:tcPr>
          <w:p>
            <w:r>
              <w:rPr>
                <w:sz w:val="20"/>
              </w:rPr>
              <w:t>250</w:t>
            </w:r>
          </w:p>
        </w:tc>
        <w:tc>
          <w:tcPr>
            <w:tcW w:type="dxa" w:w="1584"/>
            <w:shd w:fill="DCE6F1" w:val="clear"/>
          </w:tcPr>
          <w:p>
            <w:r>
              <w:rPr>
                <w:sz w:val="20"/>
              </w:rPr>
              <w:t>250</w:t>
            </w:r>
          </w:p>
        </w:tc>
        <w:tc>
          <w:tcPr>
            <w:tcW w:type="dxa" w:w="2880"/>
            <w:shd w:fill="DCE6F1" w:val="clear"/>
          </w:tcPr>
          <w:p>
            <w:r>
              <w:rPr>
                <w:sz w:val="20"/>
              </w:rPr>
              <w:t>Circuit assembly</w:t>
            </w:r>
          </w:p>
        </w:tc>
      </w:tr>
      <w:tr>
        <w:tc>
          <w:tcPr>
            <w:tcW w:type="dxa" w:w="3168"/>
          </w:tcPr>
          <w:p>
            <w:r>
              <w:rPr>
                <w:sz w:val="20"/>
              </w:rPr>
              <w:t>Miscellaneous</w:t>
            </w:r>
          </w:p>
        </w:tc>
        <w:tc>
          <w:tcPr>
            <w:tcW w:type="dxa" w:w="720"/>
          </w:tcPr>
          <w:p>
            <w:r>
              <w:rPr>
                <w:sz w:val="20"/>
              </w:rPr>
              <w:t>–</w:t>
            </w:r>
          </w:p>
        </w:tc>
        <w:tc>
          <w:tcPr>
            <w:tcW w:type="dxa" w:w="1440"/>
          </w:tcPr>
          <w:p>
            <w:r>
              <w:rPr>
                <w:sz w:val="20"/>
              </w:rPr>
              <w:t>400</w:t>
            </w:r>
          </w:p>
        </w:tc>
        <w:tc>
          <w:tcPr>
            <w:tcW w:type="dxa" w:w="1584"/>
          </w:tcPr>
          <w:p>
            <w:r>
              <w:rPr>
                <w:sz w:val="20"/>
              </w:rPr>
              <w:t>400</w:t>
            </w:r>
          </w:p>
        </w:tc>
        <w:tc>
          <w:tcPr>
            <w:tcW w:type="dxa" w:w="2880"/>
          </w:tcPr>
          <w:p>
            <w:r>
              <w:rPr>
                <w:sz w:val="20"/>
              </w:rPr>
              <w:t>Connectors, cable</w:t>
            </w:r>
          </w:p>
        </w:tc>
      </w:tr>
      <w:tr>
        <w:tc>
          <w:tcPr>
            <w:tcW w:type="dxa" w:w="3168"/>
            <w:shd w:fill="DCE6F1" w:val="clear"/>
          </w:tcPr>
          <w:p>
            <w:r>
              <w:rPr>
                <w:sz w:val="20"/>
              </w:rPr>
              <w:t>TOTAL</w:t>
            </w:r>
          </w:p>
        </w:tc>
        <w:tc>
          <w:tcPr>
            <w:tcW w:type="dxa" w:w="720"/>
            <w:shd w:fill="DCE6F1" w:val="clear"/>
          </w:tcPr>
          <w:p>
            <w:r>
              <w:rPr>
                <w:sz w:val="20"/>
              </w:rPr>
            </w:r>
          </w:p>
        </w:tc>
        <w:tc>
          <w:tcPr>
            <w:tcW w:type="dxa" w:w="1440"/>
            <w:shd w:fill="DCE6F1" w:val="clear"/>
          </w:tcPr>
          <w:p>
            <w:r>
              <w:rPr>
                <w:sz w:val="20"/>
              </w:rPr>
            </w:r>
          </w:p>
        </w:tc>
        <w:tc>
          <w:tcPr>
            <w:tcW w:type="dxa" w:w="1584"/>
            <w:shd w:fill="DCE6F1" w:val="clear"/>
          </w:tcPr>
          <w:p>
            <w:r>
              <w:rPr>
                <w:sz w:val="20"/>
              </w:rPr>
              <w:t>6,570 BDT (~$55 USD)</w:t>
            </w:r>
          </w:p>
        </w:tc>
        <w:tc>
          <w:tcPr>
            <w:tcW w:type="dxa" w:w="2880"/>
            <w:shd w:fill="DCE6F1" w:val="clear"/>
          </w:tcPr>
          <w:p>
            <w:r>
              <w:rPr>
                <w:sz w:val="20"/>
              </w:rPr>
            </w:r>
          </w:p>
        </w:tc>
      </w:tr>
    </w:tbl>
    <w:p/>
    <w:p>
      <w:pPr>
        <w:spacing w:before="0" w:after="120"/>
        <w:jc w:val="center"/>
      </w:pPr>
      <w:r>
        <w:rPr>
          <w:b w:val="0"/>
          <w:i/>
          <w:sz w:val="20"/>
        </w:rPr>
        <w:t>Table 3.1. AquaGuard Hardware Bill of Materials</w:t>
      </w:r>
    </w:p>
    <w:p>
      <w:pPr>
        <w:pStyle w:val="Heading2"/>
      </w:pPr>
      <w:r>
        <w:t>3.4 Edge FSM Control Rules</w:t>
      </w:r>
    </w:p>
    <w:tbl>
      <w:tblPr>
        <w:tblStyle w:val="TableGrid"/>
        <w:tblW w:type="auto" w:w="0"/>
        <w:tblLook w:firstColumn="1" w:firstRow="1" w:lastColumn="0" w:lastRow="0" w:noHBand="0" w:noVBand="1" w:val="04A0"/>
      </w:tblPr>
      <w:tblGrid>
        <w:gridCol w:w="3135"/>
        <w:gridCol w:w="3135"/>
        <w:gridCol w:w="3135"/>
      </w:tblGrid>
      <w:tr>
        <w:tc>
          <w:tcPr>
            <w:tcW w:type="dxa" w:w="2160"/>
            <w:shd w:fill="1F3864" w:color="FFFFFF" w:val="clear"/>
          </w:tcPr>
          <w:p>
            <w:r>
              <w:rPr>
                <w:b/>
                <w:color w:val="FFFFFF"/>
                <w:sz w:val="20"/>
              </w:rPr>
              <w:t>Rule</w:t>
            </w:r>
          </w:p>
        </w:tc>
        <w:tc>
          <w:tcPr>
            <w:tcW w:type="dxa" w:w="3600"/>
            <w:shd w:fill="1F3864" w:color="FFFFFF" w:val="clear"/>
          </w:tcPr>
          <w:p>
            <w:r>
              <w:rPr>
                <w:b/>
                <w:color w:val="FFFFFF"/>
                <w:sz w:val="20"/>
              </w:rPr>
              <w:t>Trigger Condition</w:t>
            </w:r>
          </w:p>
        </w:tc>
        <w:tc>
          <w:tcPr>
            <w:tcW w:type="dxa" w:w="4032"/>
            <w:shd w:fill="1F3864" w:color="FFFFFF" w:val="clear"/>
          </w:tcPr>
          <w:p>
            <w:r>
              <w:rPr>
                <w:b/>
                <w:color w:val="FFFFFF"/>
                <w:sz w:val="20"/>
              </w:rPr>
              <w:t>Automatic Action</w:t>
            </w:r>
          </w:p>
        </w:tc>
      </w:tr>
      <w:tr>
        <w:tc>
          <w:tcPr>
            <w:tcW w:type="dxa" w:w="2160"/>
            <w:shd w:fill="DCE6F1" w:val="clear"/>
          </w:tcPr>
          <w:p>
            <w:r>
              <w:rPr>
                <w:sz w:val="20"/>
              </w:rPr>
              <w:t>Water too high</w:t>
            </w:r>
          </w:p>
        </w:tc>
        <w:tc>
          <w:tcPr>
            <w:tcW w:type="dxa" w:w="3600"/>
            <w:shd w:fill="DCE6F1" w:val="clear"/>
          </w:tcPr>
          <w:p>
            <w:r>
              <w:rPr>
                <w:sz w:val="20"/>
              </w:rPr>
              <w:t>Level ≥ 85 cm AND TDS &lt; 600 ppm</w:t>
            </w:r>
          </w:p>
        </w:tc>
        <w:tc>
          <w:tcPr>
            <w:tcW w:type="dxa" w:w="4032"/>
            <w:shd w:fill="DCE6F1" w:val="clear"/>
          </w:tcPr>
          <w:p>
            <w:r>
              <w:rPr>
                <w:sz w:val="20"/>
              </w:rPr>
              <w:t>Activate Drain Pump for 10 minutes</w:t>
            </w:r>
          </w:p>
        </w:tc>
      </w:tr>
      <w:tr>
        <w:tc>
          <w:tcPr>
            <w:tcW w:type="dxa" w:w="2160"/>
          </w:tcPr>
          <w:p>
            <w:r>
              <w:rPr>
                <w:sz w:val="20"/>
              </w:rPr>
              <w:t>Water too low</w:t>
            </w:r>
          </w:p>
        </w:tc>
        <w:tc>
          <w:tcPr>
            <w:tcW w:type="dxa" w:w="3600"/>
          </w:tcPr>
          <w:p>
            <w:r>
              <w:rPr>
                <w:sz w:val="20"/>
              </w:rPr>
              <w:t>Level ≤ 40 cm</w:t>
            </w:r>
          </w:p>
        </w:tc>
        <w:tc>
          <w:tcPr>
            <w:tcW w:type="dxa" w:w="4032"/>
          </w:tcPr>
          <w:p>
            <w:r>
              <w:rPr>
                <w:sz w:val="20"/>
              </w:rPr>
              <w:t>Activate Refill Pump until 70 cm</w:t>
            </w:r>
          </w:p>
        </w:tc>
      </w:tr>
      <w:tr>
        <w:tc>
          <w:tcPr>
            <w:tcW w:type="dxa" w:w="2160"/>
            <w:shd w:fill="DCE6F1" w:val="clear"/>
          </w:tcPr>
          <w:p>
            <w:r>
              <w:rPr>
                <w:sz w:val="20"/>
              </w:rPr>
              <w:t>TDS overflow</w:t>
            </w:r>
          </w:p>
        </w:tc>
        <w:tc>
          <w:tcPr>
            <w:tcW w:type="dxa" w:w="3600"/>
            <w:shd w:fill="DCE6F1" w:val="clear"/>
          </w:tcPr>
          <w:p>
            <w:r>
              <w:rPr>
                <w:sz w:val="20"/>
              </w:rPr>
              <w:t>TDS ≥ 600 ppm</w:t>
            </w:r>
          </w:p>
        </w:tc>
        <w:tc>
          <w:tcPr>
            <w:tcW w:type="dxa" w:w="4032"/>
            <w:shd w:fill="DCE6F1" w:val="clear"/>
          </w:tcPr>
          <w:p>
            <w:r>
              <w:rPr>
                <w:sz w:val="20"/>
              </w:rPr>
              <w:t>Activate Drain Pump for 15 minutes</w:t>
            </w:r>
          </w:p>
        </w:tc>
      </w:tr>
      <w:tr>
        <w:tc>
          <w:tcPr>
            <w:tcW w:type="dxa" w:w="2160"/>
          </w:tcPr>
          <w:p>
            <w:r>
              <w:rPr>
                <w:sz w:val="20"/>
              </w:rPr>
              <w:t>Scheduled feeding</w:t>
            </w:r>
          </w:p>
        </w:tc>
        <w:tc>
          <w:tcPr>
            <w:tcW w:type="dxa" w:w="3600"/>
          </w:tcPr>
          <w:p>
            <w:r>
              <w:rPr>
                <w:sz w:val="20"/>
              </w:rPr>
              <w:t>Time = 08:00 or 16:00</w:t>
            </w:r>
          </w:p>
        </w:tc>
        <w:tc>
          <w:tcPr>
            <w:tcW w:type="dxa" w:w="4032"/>
          </w:tcPr>
          <w:p>
            <w:r>
              <w:rPr>
                <w:sz w:val="20"/>
              </w:rPr>
              <w:t>Rotate Servo Feeder for 3 seconds</w:t>
            </w:r>
          </w:p>
        </w:tc>
      </w:tr>
    </w:tbl>
    <w:p/>
    <w:p>
      <w:pPr>
        <w:spacing w:before="0" w:after="120"/>
        <w:jc w:val="center"/>
      </w:pPr>
      <w:r>
        <w:rPr>
          <w:b w:val="0"/>
          <w:i/>
          <w:sz w:val="20"/>
        </w:rPr>
        <w:t>Table 3.2. Autonomous Edge Control Rules (operate without internet)</w:t>
      </w:r>
    </w:p>
    <w:p>
      <w:pPr>
        <w:pStyle w:val="Heading2"/>
      </w:pPr>
      <w:r>
        <w:t>3.5 Cloud and Backend Architecture</w:t>
      </w:r>
    </w:p>
    <w:p>
      <w:pPr>
        <w:spacing w:before="0" w:after="120"/>
        <w:jc w:val="both"/>
      </w:pPr>
      <w:r>
        <w:rPr>
          <w:b w:val="0"/>
          <w:i w:val="0"/>
          <w:sz w:val="22"/>
        </w:rPr>
        <w:t>Sensor readings and pump states are synchronized to the Firebase Realtime Database using the Firebase ESP32 Client SDK. The database structure separates live sensor telemetry (/sensor/*), pump command states (/pumps/*), and historical logs (/history/*). The Python FastAPI backend (api_combined.py) runs on Port 8000 and serves three endpoints — one per ML model. It uses relative paths throughout, making the entire backend fully portable across machines.</w:t>
      </w:r>
    </w:p>
    <w:p>
      <w:pPr>
        <w:pStyle w:val="Heading2"/>
      </w:pPr>
      <w:r>
        <w:t>3.6 Machine Learning Methodology</w:t>
      </w:r>
    </w:p>
    <w:p>
      <w:r>
        <w:rPr>
          <w:b/>
          <w:i w:val="0"/>
          <w:sz w:val="22"/>
        </w:rPr>
        <w:t>Model 1 — River Water-Level Forecasting</w:t>
      </w:r>
    </w:p>
    <w:p>
      <w:pPr>
        <w:spacing w:before="0" w:after="120"/>
        <w:jc w:val="both"/>
      </w:pPr>
      <w:r>
        <w:rPr>
          <w:b w:val="0"/>
          <w:i w:val="0"/>
          <w:sz w:val="22"/>
        </w:rPr>
        <w:t>Dataset: 15 years (2008–2022, 5,479 days) of daily BWDB Bahadurabad water levels. Missing values (335 days, 6.11%) were imputed using PCHIP interpolation, which preserves monotonic flood peak shapes. Features include water level at time t, ERA5 catchment rainfall at 1-day, 3-day, and 7-day cumulative windows, and lag features WL_t-1 through WL_t-7.</w:t>
      </w:r>
    </w:p>
    <w:p>
      <w:pPr>
        <w:spacing w:before="0" w:after="120"/>
        <w:jc w:val="both"/>
      </w:pPr>
      <w:r>
        <w:rPr>
          <w:b w:val="0"/>
          <w:i w:val="0"/>
          <w:sz w:val="22"/>
        </w:rPr>
        <w:t>Validation: Leave-One-Year-Out (LOYO) cross-validation. For each test year from 2009 to 2019, the model trained on all other available years. The 2020–2022 period was held out as a final unseen test set, never touched during model selection. This scheme prevents temporal data leakage.</w:t>
      </w:r>
    </w:p>
    <w:p>
      <w:pPr>
        <w:spacing w:before="0" w:after="120"/>
        <w:jc w:val="both"/>
      </w:pPr>
      <w:r>
        <w:rPr>
          <w:b w:val="0"/>
          <w:i w:val="0"/>
          <w:sz w:val="22"/>
        </w:rPr>
        <w:t>Evaluation metrics:</w:t>
      </w:r>
    </w:p>
    <w:p>
      <w:pPr>
        <w:jc w:val="center"/>
      </w:pPr>
      <w:r>
        <w:rPr>
          <w:b w:val="0"/>
          <w:i/>
          <w:sz w:val="22"/>
        </w:rPr>
        <w:t>RMSE  =  √[ (1/N) × Σ(y_i − ŷ_i)² ]</w:t>
      </w:r>
      <w:r>
        <w:rPr>
          <w:b w:val="0"/>
          <w:i w:val="0"/>
          <w:sz w:val="20"/>
        </w:rPr>
        <w:t xml:space="preserve">  ... (3.4)</w:t>
      </w:r>
    </w:p>
    <w:p>
      <w:pPr>
        <w:jc w:val="center"/>
      </w:pPr>
      <w:r>
        <w:rPr>
          <w:b w:val="0"/>
          <w:i/>
          <w:sz w:val="22"/>
        </w:rPr>
        <w:t>NSE  =  1.0  −  [ Σ(y_i − ŷ_i)²  /  Σ(y_i − ȳ)² ]</w:t>
      </w:r>
      <w:r>
        <w:rPr>
          <w:b w:val="0"/>
          <w:i w:val="0"/>
          <w:sz w:val="20"/>
        </w:rPr>
        <w:t xml:space="preserve">  ... (3.5)</w:t>
      </w:r>
    </w:p>
    <w:p>
      <w:pPr>
        <w:jc w:val="center"/>
      </w:pPr>
      <w:r>
        <w:rPr>
          <w:b w:val="0"/>
          <w:i/>
          <w:sz w:val="22"/>
        </w:rPr>
        <w:t>POD  =  Hits  /  ( Hits + Misses )</w:t>
      </w:r>
      <w:r>
        <w:rPr>
          <w:b w:val="0"/>
          <w:i w:val="0"/>
          <w:sz w:val="20"/>
        </w:rPr>
        <w:t xml:space="preserve">  ... (3.6)</w:t>
      </w:r>
    </w:p>
    <w:p>
      <w:pPr>
        <w:jc w:val="center"/>
      </w:pPr>
      <w:r>
        <w:rPr>
          <w:b w:val="0"/>
          <w:i/>
          <w:sz w:val="22"/>
        </w:rPr>
        <w:t>FAR  =  False Alarms  /  ( Hits + False Alarms )</w:t>
      </w:r>
      <w:r>
        <w:rPr>
          <w:b w:val="0"/>
          <w:i w:val="0"/>
          <w:sz w:val="20"/>
        </w:rPr>
        <w:t xml:space="preserve">  ... (3.7)</w:t>
      </w:r>
    </w:p>
    <w:p>
      <w:r>
        <w:rPr>
          <w:b/>
          <w:i w:val="0"/>
          <w:sz w:val="22"/>
        </w:rPr>
        <w:t>Model 2 — Pond TDS Forecasting (+60 minutes)</w:t>
      </w:r>
    </w:p>
    <w:p>
      <w:pPr>
        <w:spacing w:before="0" w:after="120"/>
        <w:jc w:val="both"/>
      </w:pPr>
      <w:r>
        <w:rPr>
          <w:b w:val="0"/>
          <w:i w:val="0"/>
          <w:sz w:val="22"/>
        </w:rPr>
        <w:t>Dataset: 1,327 continuous hourly IoT sensor records from 2023. Features: raw TDS at time t, rolling 6-hour and 12-hour mean TDS, and lag features TDS_t-1 through TDS_t-12. Validation: 80/20 chronological train/test split preserving temporal order. No random shuffling.</w:t>
      </w:r>
    </w:p>
    <w:p>
      <w:r>
        <w:rPr>
          <w:b/>
          <w:i w:val="0"/>
          <w:sz w:val="22"/>
        </w:rPr>
        <w:t>Model 3 — Multivariate Anomaly Detection</w:t>
      </w:r>
    </w:p>
    <w:p>
      <w:pPr>
        <w:spacing w:before="0" w:after="120"/>
        <w:jc w:val="both"/>
      </w:pPr>
      <w:r>
        <w:rPr>
          <w:b w:val="0"/>
          <w:i w:val="0"/>
          <w:sz w:val="22"/>
        </w:rPr>
        <w:t>Algorithm: Isolation Forest (contamination = 0.05). Features: absolute sensor values (pH, TDS, Temp, Water Level) PLUS rate-of-change deltas (ΔpH, ΔTDS, ΔTemp per hour). Delta features are critical — they catch rapid deteriorations that may not yet have crossed an absolute threshold.</w:t>
      </w:r>
    </w:p>
    <w:p>
      <w:r>
        <w:br w:type="page"/>
      </w:r>
    </w:p>
    <w:p>
      <w:pPr>
        <w:pStyle w:val="Heading1"/>
      </w:pPr>
      <w:r>
        <w:t>Chapter 4: Implementation</w:t>
      </w:r>
    </w:p>
    <w:p>
      <w:pPr>
        <w:pStyle w:val="Heading2"/>
      </w:pPr>
      <w:r>
        <w:t>4.1 Team Work Division</w:t>
      </w:r>
    </w:p>
    <w:tbl>
      <w:tblPr>
        <w:tblStyle w:val="TableGrid"/>
        <w:tblW w:type="auto" w:w="0"/>
        <w:tblLook w:firstColumn="1" w:firstRow="1" w:lastColumn="0" w:lastRow="0" w:noHBand="0" w:noVBand="1" w:val="04A0"/>
      </w:tblPr>
      <w:tblGrid>
        <w:gridCol w:w="4702"/>
        <w:gridCol w:w="4702"/>
      </w:tblGrid>
      <w:tr>
        <w:tc>
          <w:tcPr>
            <w:tcW w:type="dxa" w:w="2160"/>
            <w:shd w:fill="1F3864" w:color="FFFFFF" w:val="clear"/>
          </w:tcPr>
          <w:p>
            <w:r>
              <w:rPr>
                <w:b/>
                <w:color w:val="FFFFFF"/>
                <w:sz w:val="20"/>
              </w:rPr>
              <w:t>Member</w:t>
            </w:r>
          </w:p>
        </w:tc>
        <w:tc>
          <w:tcPr>
            <w:tcW w:type="dxa" w:w="7632"/>
            <w:shd w:fill="1F3864" w:color="FFFFFF" w:val="clear"/>
          </w:tcPr>
          <w:p>
            <w:r>
              <w:rPr>
                <w:b/>
                <w:color w:val="FFFFFF"/>
                <w:sz w:val="20"/>
              </w:rPr>
              <w:t>Responsibilities</w:t>
            </w:r>
          </w:p>
        </w:tc>
      </w:tr>
      <w:tr>
        <w:tc>
          <w:tcPr>
            <w:tcW w:type="dxa" w:w="2160"/>
            <w:shd w:fill="DCE6F1" w:val="clear"/>
          </w:tcPr>
          <w:p>
            <w:r>
              <w:rPr>
                <w:sz w:val="20"/>
              </w:rPr>
              <w:t>Srabon</w:t>
            </w:r>
          </w:p>
        </w:tc>
        <w:tc>
          <w:tcPr>
            <w:tcW w:type="dxa" w:w="7632"/>
            <w:shd w:fill="DCE6F1" w:val="clear"/>
          </w:tcPr>
          <w:p>
            <w:r>
              <w:rPr>
                <w:sz w:val="20"/>
              </w:rPr>
              <w:t>Hardware fabrication, circuit wiring, voltage divider protection, pH/TDS calibration, relay integration</w:t>
            </w:r>
          </w:p>
        </w:tc>
      </w:tr>
      <w:tr>
        <w:tc>
          <w:tcPr>
            <w:tcW w:type="dxa" w:w="2160"/>
          </w:tcPr>
          <w:p>
            <w:r>
              <w:rPr>
                <w:sz w:val="20"/>
              </w:rPr>
              <w:t>Mahfuz</w:t>
            </w:r>
          </w:p>
        </w:tc>
        <w:tc>
          <w:tcPr>
            <w:tcW w:type="dxa" w:w="7632"/>
          </w:tcPr>
          <w:p>
            <w:r>
              <w:rPr>
                <w:sz w:val="20"/>
              </w:rPr>
              <w:t>Firebase Realtime DB configuration, web dashboard (HTML/CSS/JS), pH calibration page, analytics charts, remote pump control UI</w:t>
            </w:r>
          </w:p>
        </w:tc>
      </w:tr>
      <w:tr>
        <w:tc>
          <w:tcPr>
            <w:tcW w:type="dxa" w:w="2160"/>
            <w:shd w:fill="DCE6F1" w:val="clear"/>
          </w:tcPr>
          <w:p>
            <w:r>
              <w:rPr>
                <w:sz w:val="20"/>
              </w:rPr>
              <w:t>Hrithik Saha</w:t>
            </w:r>
          </w:p>
        </w:tc>
        <w:tc>
          <w:tcPr>
            <w:tcW w:type="dxa" w:w="7632"/>
            <w:shd w:fill="DCE6F1" w:val="clear"/>
          </w:tcPr>
          <w:p>
            <w:r>
              <w:rPr>
                <w:sz w:val="20"/>
              </w:rPr>
              <w:t>Python FastAPI backend (api_combined.py), all three ML pipelines, LOYO cross-validation, SHAP analysis</w:t>
            </w:r>
          </w:p>
        </w:tc>
      </w:tr>
    </w:tbl>
    <w:p/>
    <w:p>
      <w:pPr>
        <w:spacing w:before="0" w:after="120"/>
        <w:jc w:val="center"/>
      </w:pPr>
      <w:r>
        <w:rPr>
          <w:b w:val="0"/>
          <w:i/>
          <w:sz w:val="20"/>
        </w:rPr>
        <w:t>Table 4.1. Team Work Distribution</w:t>
      </w:r>
    </w:p>
    <w:p>
      <w:pPr>
        <w:pStyle w:val="Heading2"/>
      </w:pPr>
      <w:r>
        <w:t>4.2 Hardware Build</w:t>
      </w:r>
    </w:p>
    <w:p>
      <w:pPr>
        <w:spacing w:before="0" w:after="120"/>
        <w:jc w:val="both"/>
      </w:pPr>
      <w:r>
        <w:rPr>
          <w:b w:val="0"/>
          <w:i w:val="0"/>
          <w:sz w:val="22"/>
        </w:rPr>
        <w:t>Sensors were connected to ADC1 pins (GPIO 34 for pH, GPIO 35 for TDS) because ADC2 pins share hardware with the Wi-Fi radio and become unavailable when Wi-Fi is active. Both the pH and TDS sensors were powered from the ESP32's 3.3V rail to protect ADC inputs. A separate 5V regulated rail from an LM2596 buck converter (filtered with 470 μF + 0.1 μF capacitors) powers the relay module and pumps, preventing motor switching from resetting the ESP32.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296"/>
            <w:shd w:fill="1F3864" w:color="FFFFFF" w:val="clear"/>
          </w:tcPr>
          <w:p>
            <w:r>
              <w:rPr>
                <w:b/>
                <w:color w:val="FFFFFF"/>
                <w:sz w:val="20"/>
              </w:rPr>
              <w:t>GPIO Pin</w:t>
            </w:r>
          </w:p>
        </w:tc>
        <w:tc>
          <w:tcPr>
            <w:tcW w:type="dxa" w:w="2592"/>
            <w:shd w:fill="1F3864" w:color="FFFFFF" w:val="clear"/>
          </w:tcPr>
          <w:p>
            <w:r>
              <w:rPr>
                <w:b/>
                <w:color w:val="FFFFFF"/>
                <w:sz w:val="20"/>
              </w:rPr>
              <w:t>Component</w:t>
            </w:r>
          </w:p>
        </w:tc>
        <w:tc>
          <w:tcPr>
            <w:tcW w:type="dxa" w:w="1728"/>
            <w:shd w:fill="1F3864" w:color="FFFFFF" w:val="clear"/>
          </w:tcPr>
          <w:p>
            <w:r>
              <w:rPr>
                <w:b/>
                <w:color w:val="FFFFFF"/>
                <w:sz w:val="20"/>
              </w:rPr>
              <w:t>Signal</w:t>
            </w:r>
          </w:p>
        </w:tc>
        <w:tc>
          <w:tcPr>
            <w:tcW w:type="dxa" w:w="1728"/>
            <w:shd w:fill="1F3864" w:color="FFFFFF" w:val="clear"/>
          </w:tcPr>
          <w:p>
            <w:r>
              <w:rPr>
                <w:b/>
                <w:color w:val="FFFFFF"/>
                <w:sz w:val="20"/>
              </w:rPr>
              <w:t>Voltage</w:t>
            </w:r>
          </w:p>
        </w:tc>
        <w:tc>
          <w:tcPr>
            <w:tcW w:type="dxa" w:w="2448"/>
            <w:shd w:fill="1F3864" w:color="FFFFFF" w:val="clear"/>
          </w:tcPr>
          <w:p>
            <w:r>
              <w:rPr>
                <w:b/>
                <w:color w:val="FFFFFF"/>
                <w:sz w:val="20"/>
              </w:rPr>
              <w:t>Interface</w:t>
            </w:r>
          </w:p>
        </w:tc>
      </w:tr>
      <w:tr>
        <w:tc>
          <w:tcPr>
            <w:tcW w:type="dxa" w:w="1296"/>
            <w:shd w:fill="DCE6F1" w:val="clear"/>
          </w:tcPr>
          <w:p>
            <w:r>
              <w:rPr>
                <w:sz w:val="20"/>
              </w:rPr>
              <w:t>GPIO 34</w:t>
            </w:r>
          </w:p>
        </w:tc>
        <w:tc>
          <w:tcPr>
            <w:tcW w:type="dxa" w:w="2592"/>
            <w:shd w:fill="DCE6F1" w:val="clear"/>
          </w:tcPr>
          <w:p>
            <w:r>
              <w:rPr>
                <w:sz w:val="20"/>
              </w:rPr>
              <w:t>pH Sensor (PH4502C)</w:t>
            </w:r>
          </w:p>
        </w:tc>
        <w:tc>
          <w:tcPr>
            <w:tcW w:type="dxa" w:w="1728"/>
            <w:shd w:fill="DCE6F1" w:val="clear"/>
          </w:tcPr>
          <w:p>
            <w:r>
              <w:rPr>
                <w:sz w:val="20"/>
              </w:rPr>
              <w:t>Analog Input</w:t>
            </w:r>
          </w:p>
        </w:tc>
        <w:tc>
          <w:tcPr>
            <w:tcW w:type="dxa" w:w="1728"/>
            <w:shd w:fill="DCE6F1" w:val="clear"/>
          </w:tcPr>
          <w:p>
            <w:r>
              <w:rPr>
                <w:sz w:val="20"/>
              </w:rPr>
              <w:t>0–3.3V</w:t>
            </w:r>
          </w:p>
        </w:tc>
        <w:tc>
          <w:tcPr>
            <w:tcW w:type="dxa" w:w="2448"/>
            <w:shd w:fill="DCE6F1" w:val="clear"/>
          </w:tcPr>
          <w:p>
            <w:r>
              <w:rPr>
                <w:sz w:val="20"/>
              </w:rPr>
              <w:t>ADC1 Ch6, Wi-Fi safe</w:t>
            </w:r>
          </w:p>
        </w:tc>
      </w:tr>
      <w:tr>
        <w:tc>
          <w:tcPr>
            <w:tcW w:type="dxa" w:w="1296"/>
          </w:tcPr>
          <w:p>
            <w:r>
              <w:rPr>
                <w:sz w:val="20"/>
              </w:rPr>
              <w:t>GPIO 35</w:t>
            </w:r>
          </w:p>
        </w:tc>
        <w:tc>
          <w:tcPr>
            <w:tcW w:type="dxa" w:w="2592"/>
          </w:tcPr>
          <w:p>
            <w:r>
              <w:rPr>
                <w:sz w:val="20"/>
              </w:rPr>
              <w:t>TDS Sensor</w:t>
            </w:r>
          </w:p>
        </w:tc>
        <w:tc>
          <w:tcPr>
            <w:tcW w:type="dxa" w:w="1728"/>
          </w:tcPr>
          <w:p>
            <w:r>
              <w:rPr>
                <w:sz w:val="20"/>
              </w:rPr>
              <w:t>Analog Input</w:t>
            </w:r>
          </w:p>
        </w:tc>
        <w:tc>
          <w:tcPr>
            <w:tcW w:type="dxa" w:w="1728"/>
          </w:tcPr>
          <w:p>
            <w:r>
              <w:rPr>
                <w:sz w:val="20"/>
              </w:rPr>
              <w:t>0–2.3V</w:t>
            </w:r>
          </w:p>
        </w:tc>
        <w:tc>
          <w:tcPr>
            <w:tcW w:type="dxa" w:w="2448"/>
          </w:tcPr>
          <w:p>
            <w:r>
              <w:rPr>
                <w:sz w:val="20"/>
              </w:rPr>
              <w:t>ADC1 Ch7, Wi-Fi safe</w:t>
            </w:r>
          </w:p>
        </w:tc>
      </w:tr>
      <w:tr>
        <w:tc>
          <w:tcPr>
            <w:tcW w:type="dxa" w:w="1296"/>
            <w:shd w:fill="DCE6F1" w:val="clear"/>
          </w:tcPr>
          <w:p>
            <w:r>
              <w:rPr>
                <w:sz w:val="20"/>
              </w:rPr>
              <w:t>GPIO 32</w:t>
            </w:r>
          </w:p>
        </w:tc>
        <w:tc>
          <w:tcPr>
            <w:tcW w:type="dxa" w:w="2592"/>
            <w:shd w:fill="DCE6F1" w:val="clear"/>
          </w:tcPr>
          <w:p>
            <w:r>
              <w:rPr>
                <w:sz w:val="20"/>
              </w:rPr>
              <w:t>NTC Thermistor</w:t>
            </w:r>
          </w:p>
        </w:tc>
        <w:tc>
          <w:tcPr>
            <w:tcW w:type="dxa" w:w="1728"/>
            <w:shd w:fill="DCE6F1" w:val="clear"/>
          </w:tcPr>
          <w:p>
            <w:r>
              <w:rPr>
                <w:sz w:val="20"/>
              </w:rPr>
              <w:t>Analog Input</w:t>
            </w:r>
          </w:p>
        </w:tc>
        <w:tc>
          <w:tcPr>
            <w:tcW w:type="dxa" w:w="1728"/>
            <w:shd w:fill="DCE6F1" w:val="clear"/>
          </w:tcPr>
          <w:p>
            <w:r>
              <w:rPr>
                <w:sz w:val="20"/>
              </w:rPr>
              <w:t>3.3V</w:t>
            </w:r>
          </w:p>
        </w:tc>
        <w:tc>
          <w:tcPr>
            <w:tcW w:type="dxa" w:w="2448"/>
            <w:shd w:fill="DCE6F1" w:val="clear"/>
          </w:tcPr>
          <w:p>
            <w:r>
              <w:rPr>
                <w:sz w:val="20"/>
              </w:rPr>
              <w:t>4.7 kΩ pull-down divider</w:t>
            </w:r>
          </w:p>
        </w:tc>
      </w:tr>
      <w:tr>
        <w:tc>
          <w:tcPr>
            <w:tcW w:type="dxa" w:w="1296"/>
          </w:tcPr>
          <w:p>
            <w:r>
              <w:rPr>
                <w:sz w:val="20"/>
              </w:rPr>
              <w:t>GPIO 5</w:t>
            </w:r>
          </w:p>
        </w:tc>
        <w:tc>
          <w:tcPr>
            <w:tcW w:type="dxa" w:w="2592"/>
          </w:tcPr>
          <w:p>
            <w:r>
              <w:rPr>
                <w:sz w:val="20"/>
              </w:rPr>
              <w:t>HC-SR04 TRIG</w:t>
            </w:r>
          </w:p>
        </w:tc>
        <w:tc>
          <w:tcPr>
            <w:tcW w:type="dxa" w:w="1728"/>
          </w:tcPr>
          <w:p>
            <w:r>
              <w:rPr>
                <w:sz w:val="20"/>
              </w:rPr>
              <w:t>Digital Output</w:t>
            </w:r>
          </w:p>
        </w:tc>
        <w:tc>
          <w:tcPr>
            <w:tcW w:type="dxa" w:w="1728"/>
          </w:tcPr>
          <w:p>
            <w:r>
              <w:rPr>
                <w:sz w:val="20"/>
              </w:rPr>
              <w:t>3.3V/5V</w:t>
            </w:r>
          </w:p>
        </w:tc>
        <w:tc>
          <w:tcPr>
            <w:tcW w:type="dxa" w:w="2448"/>
          </w:tcPr>
          <w:p>
            <w:r>
              <w:rPr>
                <w:sz w:val="20"/>
              </w:rPr>
              <w:t>10 μs trigger pulse</w:t>
            </w:r>
          </w:p>
        </w:tc>
      </w:tr>
      <w:tr>
        <w:tc>
          <w:tcPr>
            <w:tcW w:type="dxa" w:w="1296"/>
            <w:shd w:fill="DCE6F1" w:val="clear"/>
          </w:tcPr>
          <w:p>
            <w:r>
              <w:rPr>
                <w:sz w:val="20"/>
              </w:rPr>
              <w:t>GPIO 18</w:t>
            </w:r>
          </w:p>
        </w:tc>
        <w:tc>
          <w:tcPr>
            <w:tcW w:type="dxa" w:w="2592"/>
            <w:shd w:fill="DCE6F1" w:val="clear"/>
          </w:tcPr>
          <w:p>
            <w:r>
              <w:rPr>
                <w:sz w:val="20"/>
              </w:rPr>
              <w:t>HC-SR04 ECHO</w:t>
            </w:r>
          </w:p>
        </w:tc>
        <w:tc>
          <w:tcPr>
            <w:tcW w:type="dxa" w:w="1728"/>
            <w:shd w:fill="DCE6F1" w:val="clear"/>
          </w:tcPr>
          <w:p>
            <w:r>
              <w:rPr>
                <w:sz w:val="20"/>
              </w:rPr>
              <w:t>Digital Input</w:t>
            </w:r>
          </w:p>
        </w:tc>
        <w:tc>
          <w:tcPr>
            <w:tcW w:type="dxa" w:w="1728"/>
            <w:shd w:fill="DCE6F1" w:val="clear"/>
          </w:tcPr>
          <w:p>
            <w:r>
              <w:rPr>
                <w:sz w:val="20"/>
              </w:rPr>
              <w:t>3.3V logic</w:t>
            </w:r>
          </w:p>
        </w:tc>
        <w:tc>
          <w:tcPr>
            <w:tcW w:type="dxa" w:w="2448"/>
            <w:shd w:fill="DCE6F1" w:val="clear"/>
          </w:tcPr>
          <w:p>
            <w:r>
              <w:rPr>
                <w:sz w:val="20"/>
              </w:rPr>
              <w:t>1 kΩ/2 kΩ voltage divider</w:t>
            </w:r>
          </w:p>
        </w:tc>
      </w:tr>
      <w:tr>
        <w:tc>
          <w:tcPr>
            <w:tcW w:type="dxa" w:w="1296"/>
          </w:tcPr>
          <w:p>
            <w:r>
              <w:rPr>
                <w:sz w:val="20"/>
              </w:rPr>
              <w:t>GPIO 25</w:t>
            </w:r>
          </w:p>
        </w:tc>
        <w:tc>
          <w:tcPr>
            <w:tcW w:type="dxa" w:w="2592"/>
          </w:tcPr>
          <w:p>
            <w:r>
              <w:rPr>
                <w:sz w:val="20"/>
              </w:rPr>
              <w:t>Relay 1 — Drain Pump</w:t>
            </w:r>
          </w:p>
        </w:tc>
        <w:tc>
          <w:tcPr>
            <w:tcW w:type="dxa" w:w="1728"/>
          </w:tcPr>
          <w:p>
            <w:r>
              <w:rPr>
                <w:sz w:val="20"/>
              </w:rPr>
              <w:t>Digital Output</w:t>
            </w:r>
          </w:p>
        </w:tc>
        <w:tc>
          <w:tcPr>
            <w:tcW w:type="dxa" w:w="1728"/>
          </w:tcPr>
          <w:p>
            <w:r>
              <w:rPr>
                <w:sz w:val="20"/>
              </w:rPr>
              <w:t>5V opto-isolated</w:t>
            </w:r>
          </w:p>
        </w:tc>
        <w:tc>
          <w:tcPr>
            <w:tcW w:type="dxa" w:w="2448"/>
          </w:tcPr>
          <w:p>
            <w:r>
              <w:rPr>
                <w:sz w:val="20"/>
              </w:rPr>
              <w:t>Active-LOW</w:t>
            </w:r>
          </w:p>
        </w:tc>
      </w:tr>
      <w:tr>
        <w:tc>
          <w:tcPr>
            <w:tcW w:type="dxa" w:w="1296"/>
            <w:shd w:fill="DCE6F1" w:val="clear"/>
          </w:tcPr>
          <w:p>
            <w:r>
              <w:rPr>
                <w:sz w:val="20"/>
              </w:rPr>
              <w:t>GPIO 26</w:t>
            </w:r>
          </w:p>
        </w:tc>
        <w:tc>
          <w:tcPr>
            <w:tcW w:type="dxa" w:w="2592"/>
            <w:shd w:fill="DCE6F1" w:val="clear"/>
          </w:tcPr>
          <w:p>
            <w:r>
              <w:rPr>
                <w:sz w:val="20"/>
              </w:rPr>
              <w:t>Relay 2 — Refill Pump</w:t>
            </w:r>
          </w:p>
        </w:tc>
        <w:tc>
          <w:tcPr>
            <w:tcW w:type="dxa" w:w="1728"/>
            <w:shd w:fill="DCE6F1" w:val="clear"/>
          </w:tcPr>
          <w:p>
            <w:r>
              <w:rPr>
                <w:sz w:val="20"/>
              </w:rPr>
              <w:t>Digital Output</w:t>
            </w:r>
          </w:p>
        </w:tc>
        <w:tc>
          <w:tcPr>
            <w:tcW w:type="dxa" w:w="1728"/>
            <w:shd w:fill="DCE6F1" w:val="clear"/>
          </w:tcPr>
          <w:p>
            <w:r>
              <w:rPr>
                <w:sz w:val="20"/>
              </w:rPr>
              <w:t>5V opto-isolated</w:t>
            </w:r>
          </w:p>
        </w:tc>
        <w:tc>
          <w:tcPr>
            <w:tcW w:type="dxa" w:w="2448"/>
            <w:shd w:fill="DCE6F1" w:val="clear"/>
          </w:tcPr>
          <w:p>
            <w:r>
              <w:rPr>
                <w:sz w:val="20"/>
              </w:rPr>
              <w:t>Active-LOW</w:t>
            </w:r>
          </w:p>
        </w:tc>
      </w:tr>
      <w:tr>
        <w:tc>
          <w:tcPr>
            <w:tcW w:type="dxa" w:w="1296"/>
          </w:tcPr>
          <w:p>
            <w:r>
              <w:rPr>
                <w:sz w:val="20"/>
              </w:rPr>
              <w:t>GPIO 13</w:t>
            </w:r>
          </w:p>
        </w:tc>
        <w:tc>
          <w:tcPr>
            <w:tcW w:type="dxa" w:w="2592"/>
          </w:tcPr>
          <w:p>
            <w:r>
              <w:rPr>
                <w:sz w:val="20"/>
              </w:rPr>
              <w:t>Servo Motor (Feeder)</w:t>
            </w:r>
          </w:p>
        </w:tc>
        <w:tc>
          <w:tcPr>
            <w:tcW w:type="dxa" w:w="1728"/>
          </w:tcPr>
          <w:p>
            <w:r>
              <w:rPr>
                <w:sz w:val="20"/>
              </w:rPr>
              <w:t>PWM Output</w:t>
            </w:r>
          </w:p>
        </w:tc>
        <w:tc>
          <w:tcPr>
            <w:tcW w:type="dxa" w:w="1728"/>
          </w:tcPr>
          <w:p>
            <w:r>
              <w:rPr>
                <w:sz w:val="20"/>
              </w:rPr>
              <w:t>5V external</w:t>
            </w:r>
          </w:p>
        </w:tc>
        <w:tc>
          <w:tcPr>
            <w:tcW w:type="dxa" w:w="2448"/>
          </w:tcPr>
          <w:p>
            <w:r>
              <w:rPr>
                <w:sz w:val="20"/>
              </w:rPr>
              <w:t>50 Hz, 1–2 ms duty</w:t>
            </w:r>
          </w:p>
        </w:tc>
      </w:tr>
      <w:tr>
        <w:tc>
          <w:tcPr>
            <w:tcW w:type="dxa" w:w="1296"/>
            <w:shd w:fill="DCE6F1" w:val="clear"/>
          </w:tcPr>
          <w:p>
            <w:r>
              <w:rPr>
                <w:sz w:val="20"/>
              </w:rPr>
              <w:t>3.3V rail</w:t>
            </w:r>
          </w:p>
        </w:tc>
        <w:tc>
          <w:tcPr>
            <w:tcW w:type="dxa" w:w="2592"/>
            <w:shd w:fill="DCE6F1" w:val="clear"/>
          </w:tcPr>
          <w:p>
            <w:r>
              <w:rPr>
                <w:sz w:val="20"/>
              </w:rPr>
              <w:t>pH + TDS sensor supply</w:t>
            </w:r>
          </w:p>
        </w:tc>
        <w:tc>
          <w:tcPr>
            <w:tcW w:type="dxa" w:w="1728"/>
            <w:shd w:fill="DCE6F1" w:val="clear"/>
          </w:tcPr>
          <w:p>
            <w:r>
              <w:rPr>
                <w:sz w:val="20"/>
              </w:rPr>
              <w:t>Power</w:t>
            </w:r>
          </w:p>
        </w:tc>
        <w:tc>
          <w:tcPr>
            <w:tcW w:type="dxa" w:w="1728"/>
            <w:shd w:fill="DCE6F1" w:val="clear"/>
          </w:tcPr>
          <w:p>
            <w:r>
              <w:rPr>
                <w:sz w:val="20"/>
              </w:rPr>
              <w:t>3.3V DC</w:t>
            </w:r>
          </w:p>
        </w:tc>
        <w:tc>
          <w:tcPr>
            <w:tcW w:type="dxa" w:w="2448"/>
            <w:shd w:fill="DCE6F1" w:val="clear"/>
          </w:tcPr>
          <w:p>
            <w:r>
              <w:rPr>
                <w:sz w:val="20"/>
              </w:rPr>
              <w:t>Protects ADC inputs</w:t>
            </w:r>
          </w:p>
        </w:tc>
      </w:tr>
      <w:tr>
        <w:tc>
          <w:tcPr>
            <w:tcW w:type="dxa" w:w="1296"/>
          </w:tcPr>
          <w:p>
            <w:r>
              <w:rPr>
                <w:sz w:val="20"/>
              </w:rPr>
              <w:t>VIN/5V</w:t>
            </w:r>
          </w:p>
        </w:tc>
        <w:tc>
          <w:tcPr>
            <w:tcW w:type="dxa" w:w="2592"/>
          </w:tcPr>
          <w:p>
            <w:r>
              <w:rPr>
                <w:sz w:val="20"/>
              </w:rPr>
              <w:t>Relay + pump supply</w:t>
            </w:r>
          </w:p>
        </w:tc>
        <w:tc>
          <w:tcPr>
            <w:tcW w:type="dxa" w:w="1728"/>
          </w:tcPr>
          <w:p>
            <w:r>
              <w:rPr>
                <w:sz w:val="20"/>
              </w:rPr>
              <w:t>Power</w:t>
            </w:r>
          </w:p>
        </w:tc>
        <w:tc>
          <w:tcPr>
            <w:tcW w:type="dxa" w:w="1728"/>
          </w:tcPr>
          <w:p>
            <w:r>
              <w:rPr>
                <w:sz w:val="20"/>
              </w:rPr>
              <w:t>5V regulated</w:t>
            </w:r>
          </w:p>
        </w:tc>
        <w:tc>
          <w:tcPr>
            <w:tcW w:type="dxa" w:w="2448"/>
          </w:tcPr>
          <w:p>
            <w:r>
              <w:rPr>
                <w:sz w:val="20"/>
              </w:rPr>
              <w:t>LM2596 buck output</w:t>
            </w:r>
          </w:p>
        </w:tc>
      </w:tr>
      <w:tr>
        <w:tc>
          <w:tcPr>
            <w:tcW w:type="dxa" w:w="1296"/>
            <w:shd w:fill="DCE6F1" w:val="clear"/>
          </w:tcPr>
          <w:p>
            <w:r>
              <w:rPr>
                <w:sz w:val="20"/>
              </w:rPr>
              <w:t>GND</w:t>
            </w:r>
          </w:p>
        </w:tc>
        <w:tc>
          <w:tcPr>
            <w:tcW w:type="dxa" w:w="2592"/>
            <w:shd w:fill="DCE6F1" w:val="clear"/>
          </w:tcPr>
          <w:p>
            <w:r>
              <w:rPr>
                <w:sz w:val="20"/>
              </w:rPr>
              <w:t>Common ground</w:t>
            </w:r>
          </w:p>
        </w:tc>
        <w:tc>
          <w:tcPr>
            <w:tcW w:type="dxa" w:w="1728"/>
            <w:shd w:fill="DCE6F1" w:val="clear"/>
          </w:tcPr>
          <w:p>
            <w:r>
              <w:rPr>
                <w:sz w:val="20"/>
              </w:rPr>
              <w:t>Ground</w:t>
            </w:r>
          </w:p>
        </w:tc>
        <w:tc>
          <w:tcPr>
            <w:tcW w:type="dxa" w:w="1728"/>
            <w:shd w:fill="DCE6F1" w:val="clear"/>
          </w:tcPr>
          <w:p>
            <w:r>
              <w:rPr>
                <w:sz w:val="20"/>
              </w:rPr>
              <w:t>0V</w:t>
            </w:r>
          </w:p>
        </w:tc>
        <w:tc>
          <w:tcPr>
            <w:tcW w:type="dxa" w:w="2448"/>
            <w:shd w:fill="DCE6F1" w:val="clear"/>
          </w:tcPr>
          <w:p>
            <w:r>
              <w:rPr>
                <w:sz w:val="20"/>
              </w:rPr>
              <w:t>Shared ground plane</w:t>
            </w:r>
          </w:p>
        </w:tc>
      </w:tr>
    </w:tbl>
    <w:p/>
    <w:p>
      <w:pPr>
        <w:spacing w:before="0" w:after="120"/>
        <w:jc w:val="center"/>
      </w:pPr>
      <w:r>
        <w:rPr>
          <w:b w:val="0"/>
          <w:i/>
          <w:sz w:val="20"/>
        </w:rPr>
        <w:t>Table 4.2. Corrected GPIO Pin Assignments (AquaGuard_v2.ino)</w:t>
      </w:r>
    </w:p>
    <w:p>
      <w:pPr>
        <w:pStyle w:val="Heading2"/>
      </w:pPr>
      <w:r>
        <w:t>4.3 ESP32 Firmware</w:t>
      </w:r>
    </w:p>
    <w:p>
      <w:pPr>
        <w:pStyle w:val="ListBullet"/>
      </w:pPr>
      <w:r>
        <w:rPr>
          <w:b w:val="0"/>
          <w:i w:val="0"/>
          <w:sz w:val="22"/>
        </w:rPr>
        <w:t>Non-blocking design: millis() timers replace all delay() calls so sensing, FSM evaluation, cloud sync, and serial logging run concurrently.</w:t>
      </w:r>
    </w:p>
    <w:p>
      <w:pPr>
        <w:pStyle w:val="ListBullet"/>
      </w:pPr>
      <w:r>
        <w:rPr>
          <w:b w:val="0"/>
          <w:i w:val="0"/>
          <w:sz w:val="22"/>
        </w:rPr>
        <w:t>ADC oversampling: 64 fast samples per reading; top and bottom 10% discarded; remaining values averaged — reduces AC noise from pump motors.</w:t>
      </w:r>
    </w:p>
    <w:p>
      <w:pPr>
        <w:pStyle w:val="ListBullet"/>
      </w:pPr>
      <w:r>
        <w:rPr>
          <w:b w:val="0"/>
          <w:i w:val="0"/>
          <w:sz w:val="22"/>
        </w:rPr>
        <w:t>NVS calibration storage: Two-point pH calibration values saved to ESP32 Non-Volatile Storage, surviving power cycles. Updated wirelessly from the dashboard without re-flashing.</w:t>
      </w:r>
    </w:p>
    <w:p>
      <w:pPr>
        <w:pStyle w:val="ListBullet"/>
      </w:pPr>
      <w:r>
        <w:rPr>
          <w:b w:val="0"/>
          <w:i w:val="0"/>
          <w:sz w:val="22"/>
        </w:rPr>
        <w:t>Local FSM safety: The four control rules in Table 3.2 evaluate every 30 seconds using local sensor data and continue working during internet outages.</w:t>
      </w:r>
    </w:p>
    <w:p>
      <w:pPr>
        <w:pStyle w:val="Heading2"/>
      </w:pPr>
      <w:r>
        <w:t>4.4 Cloud Backend</w:t>
      </w:r>
    </w:p>
    <w:p>
      <w:pPr>
        <w:spacing w:before="0" w:after="120"/>
        <w:jc w:val="both"/>
      </w:pPr>
      <w:r>
        <w:rPr>
          <w:b w:val="0"/>
          <w:i w:val="0"/>
          <w:sz w:val="22"/>
        </w:rPr>
        <w:t>The Firebase Realtime Database stores /sensor/ph, /sensor/tds, /sensor/temp, /sensor/level, /pumps/pump1, /pumps/pump2, and a rolling 24-hour history under /history/. State changes propagate to connected browsers in under one second. The Python FastAPI backend (api_combined.py) runs on localhost:8000 with uvicorn.</w:t>
      </w:r>
    </w:p>
    <w:tbl>
      <w:tblPr>
        <w:tblStyle w:val="TableGrid"/>
        <w:tblW w:type="auto" w:w="0"/>
        <w:tblLook w:firstColumn="1" w:firstRow="1" w:lastColumn="0" w:lastRow="0" w:noHBand="0" w:noVBand="1" w:val="04A0"/>
      </w:tblPr>
      <w:tblGrid>
        <w:gridCol w:w="2351"/>
        <w:gridCol w:w="2351"/>
        <w:gridCol w:w="2351"/>
        <w:gridCol w:w="2351"/>
      </w:tblGrid>
      <w:tr>
        <w:tc>
          <w:tcPr>
            <w:tcW w:type="dxa" w:w="1152"/>
            <w:shd w:fill="1F3864" w:color="FFFFFF" w:val="clear"/>
          </w:tcPr>
          <w:p>
            <w:r>
              <w:rPr>
                <w:b/>
                <w:color w:val="FFFFFF"/>
                <w:sz w:val="20"/>
              </w:rPr>
              <w:t>Method</w:t>
            </w:r>
          </w:p>
        </w:tc>
        <w:tc>
          <w:tcPr>
            <w:tcW w:type="dxa" w:w="2448"/>
            <w:shd w:fill="1F3864" w:color="FFFFFF" w:val="clear"/>
          </w:tcPr>
          <w:p>
            <w:r>
              <w:rPr>
                <w:b/>
                <w:color w:val="FFFFFF"/>
                <w:sz w:val="20"/>
              </w:rPr>
              <w:t>Route</w:t>
            </w:r>
          </w:p>
        </w:tc>
        <w:tc>
          <w:tcPr>
            <w:tcW w:type="dxa" w:w="2592"/>
            <w:shd w:fill="1F3864" w:color="FFFFFF" w:val="clear"/>
          </w:tcPr>
          <w:p>
            <w:r>
              <w:rPr>
                <w:b/>
                <w:color w:val="FFFFFF"/>
                <w:sz w:val="20"/>
              </w:rPr>
              <w:t>Parameters</w:t>
            </w:r>
          </w:p>
        </w:tc>
        <w:tc>
          <w:tcPr>
            <w:tcW w:type="dxa" w:w="3600"/>
            <w:shd w:fill="1F3864" w:color="FFFFFF" w:val="clear"/>
          </w:tcPr>
          <w:p>
            <w:r>
              <w:rPr>
                <w:b/>
                <w:color w:val="FFFFFF"/>
                <w:sz w:val="20"/>
              </w:rPr>
              <w:t>Description</w:t>
            </w:r>
          </w:p>
        </w:tc>
      </w:tr>
      <w:tr>
        <w:tc>
          <w:tcPr>
            <w:tcW w:type="dxa" w:w="1152"/>
            <w:shd w:fill="DCE6F1" w:val="clear"/>
          </w:tcPr>
          <w:p>
            <w:r>
              <w:rPr>
                <w:sz w:val="20"/>
              </w:rPr>
              <w:t>GET</w:t>
            </w:r>
          </w:p>
        </w:tc>
        <w:tc>
          <w:tcPr>
            <w:tcW w:type="dxa" w:w="2448"/>
            <w:shd w:fill="DCE6F1" w:val="clear"/>
          </w:tcPr>
          <w:p>
            <w:r>
              <w:rPr>
                <w:sz w:val="20"/>
              </w:rPr>
              <w:t>/api/v1/forecast</w:t>
            </w:r>
          </w:p>
        </w:tc>
        <w:tc>
          <w:tcPr>
            <w:tcW w:type="dxa" w:w="2592"/>
            <w:shd w:fill="DCE6F1" w:val="clear"/>
          </w:tcPr>
          <w:p>
            <w:r>
              <w:rPr>
                <w:sz w:val="20"/>
              </w:rPr>
              <w:t>horizon=1..14</w:t>
            </w:r>
          </w:p>
        </w:tc>
        <w:tc>
          <w:tcPr>
            <w:tcW w:type="dxa" w:w="3600"/>
            <w:shd w:fill="DCE6F1" w:val="clear"/>
          </w:tcPr>
          <w:p>
            <w:r>
              <w:rPr>
                <w:sz w:val="20"/>
              </w:rPr>
              <w:t>River water-level forecast + bilingual advice</w:t>
            </w:r>
          </w:p>
        </w:tc>
      </w:tr>
      <w:tr>
        <w:tc>
          <w:tcPr>
            <w:tcW w:type="dxa" w:w="1152"/>
          </w:tcPr>
          <w:p>
            <w:r>
              <w:rPr>
                <w:sz w:val="20"/>
              </w:rPr>
              <w:t>GET</w:t>
            </w:r>
          </w:p>
        </w:tc>
        <w:tc>
          <w:tcPr>
            <w:tcW w:type="dxa" w:w="2448"/>
          </w:tcPr>
          <w:p>
            <w:r>
              <w:rPr>
                <w:sz w:val="20"/>
              </w:rPr>
              <w:t>/api/v1/tds</w:t>
            </w:r>
          </w:p>
        </w:tc>
        <w:tc>
          <w:tcPr>
            <w:tcW w:type="dxa" w:w="2592"/>
          </w:tcPr>
          <w:p>
            <w:r>
              <w:rPr>
                <w:sz w:val="20"/>
              </w:rPr>
              <w:t>device_id</w:t>
            </w:r>
          </w:p>
        </w:tc>
        <w:tc>
          <w:tcPr>
            <w:tcW w:type="dxa" w:w="3600"/>
          </w:tcPr>
          <w:p>
            <w:r>
              <w:rPr>
                <w:sz w:val="20"/>
              </w:rPr>
              <w:t>Predicted pond TDS +60 min with SHAP scores</w:t>
            </w:r>
          </w:p>
        </w:tc>
      </w:tr>
      <w:tr>
        <w:tc>
          <w:tcPr>
            <w:tcW w:type="dxa" w:w="1152"/>
            <w:shd w:fill="DCE6F1" w:val="clear"/>
          </w:tcPr>
          <w:p>
            <w:r>
              <w:rPr>
                <w:sz w:val="20"/>
              </w:rPr>
              <w:t>GET</w:t>
            </w:r>
          </w:p>
        </w:tc>
        <w:tc>
          <w:tcPr>
            <w:tcW w:type="dxa" w:w="2448"/>
            <w:shd w:fill="DCE6F1" w:val="clear"/>
          </w:tcPr>
          <w:p>
            <w:r>
              <w:rPr>
                <w:sz w:val="20"/>
              </w:rPr>
              <w:t>/api/v1/anomaly</w:t>
            </w:r>
          </w:p>
        </w:tc>
        <w:tc>
          <w:tcPr>
            <w:tcW w:type="dxa" w:w="2592"/>
            <w:shd w:fill="DCE6F1" w:val="clear"/>
          </w:tcPr>
          <w:p>
            <w:r>
              <w:rPr>
                <w:sz w:val="20"/>
              </w:rPr>
              <w:t>pH, tds, temp (optional)</w:t>
            </w:r>
          </w:p>
        </w:tc>
        <w:tc>
          <w:tcPr>
            <w:tcW w:type="dxa" w:w="3600"/>
            <w:shd w:fill="DCE6F1" w:val="clear"/>
          </w:tcPr>
          <w:p>
            <w:r>
              <w:rPr>
                <w:sz w:val="20"/>
              </w:rPr>
              <w:t>Isolation Forest score and status</w:t>
            </w:r>
          </w:p>
        </w:tc>
      </w:tr>
      <w:tr>
        <w:tc>
          <w:tcPr>
            <w:tcW w:type="dxa" w:w="1152"/>
          </w:tcPr>
          <w:p>
            <w:r>
              <w:rPr>
                <w:sz w:val="20"/>
              </w:rPr>
              <w:t>GET</w:t>
            </w:r>
          </w:p>
        </w:tc>
        <w:tc>
          <w:tcPr>
            <w:tcW w:type="dxa" w:w="2448"/>
          </w:tcPr>
          <w:p>
            <w:r>
              <w:rPr>
                <w:sz w:val="20"/>
              </w:rPr>
              <w:t>/docs</w:t>
            </w:r>
          </w:p>
        </w:tc>
        <w:tc>
          <w:tcPr>
            <w:tcW w:type="dxa" w:w="2592"/>
          </w:tcPr>
          <w:p>
            <w:r>
              <w:rPr>
                <w:sz w:val="20"/>
              </w:rPr>
              <w:t>—</w:t>
            </w:r>
          </w:p>
        </w:tc>
        <w:tc>
          <w:tcPr>
            <w:tcW w:type="dxa" w:w="3600"/>
          </w:tcPr>
          <w:p>
            <w:r>
              <w:rPr>
                <w:sz w:val="20"/>
              </w:rPr>
              <w:t>Auto-generated Swagger API documentation</w:t>
            </w:r>
          </w:p>
        </w:tc>
      </w:tr>
    </w:tbl>
    <w:p/>
    <w:p>
      <w:pPr>
        <w:spacing w:before="0" w:after="120"/>
        <w:jc w:val="center"/>
      </w:pPr>
      <w:r>
        <w:rPr>
          <w:b w:val="0"/>
          <w:i/>
          <w:sz w:val="20"/>
        </w:rPr>
        <w:t>Table 4.3. REST API Endpoints (Python FastAPI, Port 8000)</w:t>
      </w:r>
    </w:p>
    <w:p>
      <w:pPr>
        <w:pStyle w:val="Heading2"/>
      </w:pPr>
      <w:r>
        <w:t>4.5 Web Dashboard</w:t>
      </w:r>
    </w:p>
    <w:p>
      <w:pPr>
        <w:pStyle w:val="ListBullet"/>
      </w:pPr>
      <w:r>
        <w:rPr>
          <w:b w:val="0"/>
          <w:i w:val="0"/>
          <w:sz w:val="22"/>
        </w:rPr>
        <w:t>Live sensor tiles reading from Firebase in real time</w:t>
      </w:r>
    </w:p>
    <w:p>
      <w:pPr>
        <w:pStyle w:val="ListBullet"/>
      </w:pPr>
      <w:r>
        <w:rPr>
          <w:b w:val="0"/>
          <w:i w:val="0"/>
          <w:sz w:val="22"/>
        </w:rPr>
        <w:t>Composite Pond Health Index (0–100) calculated from all four parameters</w:t>
      </w:r>
    </w:p>
    <w:p>
      <w:pPr>
        <w:pStyle w:val="ListBullet"/>
      </w:pPr>
      <w:r>
        <w:rPr>
          <w:b w:val="0"/>
          <w:i w:val="0"/>
          <w:sz w:val="22"/>
        </w:rPr>
        <w:t>24-hour and 7-day trend charts (Chart.js)</w:t>
      </w:r>
    </w:p>
    <w:p>
      <w:pPr>
        <w:pStyle w:val="ListBullet"/>
      </w:pPr>
      <w:r>
        <w:rPr>
          <w:b w:val="0"/>
          <w:i w:val="0"/>
          <w:sz w:val="22"/>
        </w:rPr>
        <w:t>Manual pump override toggle buttons</w:t>
      </w:r>
    </w:p>
    <w:p>
      <w:pPr>
        <w:pStyle w:val="ListBullet"/>
      </w:pPr>
      <w:r>
        <w:rPr>
          <w:b w:val="0"/>
          <w:i w:val="0"/>
          <w:sz w:val="22"/>
        </w:rPr>
        <w:t>Bilingual (English + Bengali) actionable farmer advice based on AI predictions</w:t>
      </w:r>
    </w:p>
    <w:p>
      <w:pPr>
        <w:pStyle w:val="ListBullet"/>
      </w:pPr>
      <w:r>
        <w:rPr>
          <w:b w:val="0"/>
          <w:i w:val="0"/>
          <w:sz w:val="22"/>
        </w:rPr>
        <w:t>'Simulate Sensor Spike' button — injects pH 9.5 / TDS 450 / Temp 33°C into Model 3 and turns the dashboard card RED for 5 seconds (used for live defense demonstrations)</w:t>
      </w:r>
    </w:p>
    <w:p>
      <w:pPr>
        <w:pStyle w:val="ListBullet"/>
      </w:pPr>
      <w:r>
        <w:rPr>
          <w:b w:val="0"/>
          <w:i w:val="0"/>
          <w:sz w:val="22"/>
        </w:rPr>
        <w:t>Alert banners with 3-reading debounce (90 seconds) and 30-minute cooldown to prevent false alarm fatigue</w:t>
      </w:r>
    </w:p>
    <w:p>
      <w:pPr>
        <w:pStyle w:val="Heading2"/>
      </w:pPr>
      <w:r>
        <w:t>4.6 pH Calibration Page</w:t>
      </w:r>
    </w:p>
    <w:p>
      <w:pPr>
        <w:spacing w:before="0" w:after="120"/>
        <w:jc w:val="both"/>
      </w:pPr>
      <w:r>
        <w:rPr>
          <w:b w:val="0"/>
          <w:i w:val="0"/>
          <w:sz w:val="22"/>
        </w:rPr>
        <w:t>A separate browser page (ph-calibration.html) walks the user through two-point calibration in three steps with no hardware re-flashing. The user dips the probe in vinegar (pH 2.4) and clicks 'Capture Acid Point', then dips it in baking soda solution (pH 8.3) and clicks 'Capture Base Point'. The page writes new calibration values into Firebase; the ESP32 reads and saves them to NVS on the next telemetry cycle.</w:t>
      </w:r>
    </w:p>
    <w:p>
      <w:r>
        <w:br w:type="page"/>
      </w:r>
    </w:p>
    <w:p>
      <w:pPr>
        <w:pStyle w:val="Heading1"/>
      </w:pPr>
      <w:r>
        <w:t>Chapter 5: Results and Discussion</w:t>
      </w:r>
    </w:p>
    <w:p>
      <w:pPr>
        <w:pStyle w:val="Heading2"/>
      </w:pPr>
      <w:r>
        <w:t>5.1 Sensor Calibration Results</w:t>
      </w:r>
    </w:p>
    <w:p>
      <w:pPr>
        <w:spacing w:before="0" w:after="120"/>
        <w:jc w:val="both"/>
      </w:pPr>
      <w:r>
        <w:rPr>
          <w:b w:val="0"/>
          <w:i w:val="0"/>
          <w:sz w:val="22"/>
        </w:rPr>
        <w:t>After two-point calibration and 64-sample oversampling, all four sensors met engineering accuracy targets. Note: pH calibration used vinegar (~pH 2.4) and baking soda solution (~pH 8.3) as the two reference points.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fill="1F3864" w:color="FFFFFF" w:val="clear"/>
          </w:tcPr>
          <w:p>
            <w:r>
              <w:rPr>
                <w:b/>
                <w:color w:val="FFFFFF"/>
                <w:sz w:val="20"/>
              </w:rPr>
              <w:t>Sensor</w:t>
            </w:r>
          </w:p>
        </w:tc>
        <w:tc>
          <w:tcPr>
            <w:tcW w:type="dxa" w:w="1872"/>
            <w:shd w:fill="1F3864" w:color="FFFFFF" w:val="clear"/>
          </w:tcPr>
          <w:p>
            <w:r>
              <w:rPr>
                <w:b/>
                <w:color w:val="FFFFFF"/>
                <w:sz w:val="20"/>
              </w:rPr>
              <w:t>Pre-Cal Error</w:t>
            </w:r>
          </w:p>
        </w:tc>
        <w:tc>
          <w:tcPr>
            <w:tcW w:type="dxa" w:w="2016"/>
            <w:shd w:fill="1F3864" w:color="FFFFFF" w:val="clear"/>
          </w:tcPr>
          <w:p>
            <w:r>
              <w:rPr>
                <w:b/>
                <w:color w:val="FFFFFF"/>
                <w:sz w:val="20"/>
              </w:rPr>
              <w:t>Post-Cal Error</w:t>
            </w:r>
          </w:p>
        </w:tc>
        <w:tc>
          <w:tcPr>
            <w:tcW w:type="dxa" w:w="1152"/>
            <w:shd w:fill="1F3864" w:color="FFFFFF" w:val="clear"/>
          </w:tcPr>
          <w:p>
            <w:r>
              <w:rPr>
                <w:b/>
                <w:color w:val="FFFFFF"/>
                <w:sz w:val="20"/>
              </w:rPr>
              <w:t>R²</w:t>
            </w:r>
          </w:p>
        </w:tc>
        <w:tc>
          <w:tcPr>
            <w:tcW w:type="dxa" w:w="2160"/>
            <w:shd w:fill="1F3864" w:color="FFFFFF" w:val="clear"/>
          </w:tcPr>
          <w:p>
            <w:r>
              <w:rPr>
                <w:b/>
                <w:color w:val="FFFFFF"/>
                <w:sz w:val="20"/>
              </w:rPr>
              <w:t>72h Drift</w:t>
            </w:r>
          </w:p>
        </w:tc>
      </w:tr>
      <w:tr>
        <w:tc>
          <w:tcPr>
            <w:tcW w:type="dxa" w:w="2592"/>
            <w:shd w:fill="DCE6F1" w:val="clear"/>
          </w:tcPr>
          <w:p>
            <w:r>
              <w:rPr>
                <w:sz w:val="20"/>
              </w:rPr>
              <w:t>pH (PH4502C)</w:t>
            </w:r>
          </w:p>
        </w:tc>
        <w:tc>
          <w:tcPr>
            <w:tcW w:type="dxa" w:w="1872"/>
            <w:shd w:fill="DCE6F1" w:val="clear"/>
          </w:tcPr>
          <w:p>
            <w:r>
              <w:rPr>
                <w:sz w:val="20"/>
              </w:rPr>
              <w:t>±0.42 pH</w:t>
            </w:r>
          </w:p>
        </w:tc>
        <w:tc>
          <w:tcPr>
            <w:tcW w:type="dxa" w:w="2016"/>
            <w:shd w:fill="DCE6F1" w:val="clear"/>
          </w:tcPr>
          <w:p>
            <w:r>
              <w:rPr>
                <w:sz w:val="20"/>
              </w:rPr>
              <w:t>±0.05 pH</w:t>
            </w:r>
          </w:p>
        </w:tc>
        <w:tc>
          <w:tcPr>
            <w:tcW w:type="dxa" w:w="1152"/>
            <w:shd w:fill="DCE6F1" w:val="clear"/>
          </w:tcPr>
          <w:p>
            <w:r>
              <w:rPr>
                <w:sz w:val="20"/>
              </w:rPr>
              <w:t>0.994</w:t>
            </w:r>
          </w:p>
        </w:tc>
        <w:tc>
          <w:tcPr>
            <w:tcW w:type="dxa" w:w="2160"/>
            <w:shd w:fill="DCE6F1" w:val="clear"/>
          </w:tcPr>
          <w:p>
            <w:r>
              <w:rPr>
                <w:sz w:val="20"/>
              </w:rPr>
              <w:t>±0.03 pH</w:t>
            </w:r>
          </w:p>
        </w:tc>
      </w:tr>
      <w:tr>
        <w:tc>
          <w:tcPr>
            <w:tcW w:type="dxa" w:w="2592"/>
          </w:tcPr>
          <w:p>
            <w:r>
              <w:rPr>
                <w:sz w:val="20"/>
              </w:rPr>
              <w:t>TDS Probe</w:t>
            </w:r>
          </w:p>
        </w:tc>
        <w:tc>
          <w:tcPr>
            <w:tcW w:type="dxa" w:w="1872"/>
          </w:tcPr>
          <w:p>
            <w:r>
              <w:rPr>
                <w:sz w:val="20"/>
              </w:rPr>
              <w:t>±8.5%</w:t>
            </w:r>
          </w:p>
        </w:tc>
        <w:tc>
          <w:tcPr>
            <w:tcW w:type="dxa" w:w="2016"/>
          </w:tcPr>
          <w:p>
            <w:r>
              <w:rPr>
                <w:sz w:val="20"/>
              </w:rPr>
              <w:t>±2.8%</w:t>
            </w:r>
          </w:p>
        </w:tc>
        <w:tc>
          <w:tcPr>
            <w:tcW w:type="dxa" w:w="1152"/>
          </w:tcPr>
          <w:p>
            <w:r>
              <w:rPr>
                <w:sz w:val="20"/>
              </w:rPr>
              <w:t>0.989</w:t>
            </w:r>
          </w:p>
        </w:tc>
        <w:tc>
          <w:tcPr>
            <w:tcW w:type="dxa" w:w="2160"/>
          </w:tcPr>
          <w:p>
            <w:r>
              <w:rPr>
                <w:sz w:val="20"/>
              </w:rPr>
              <w:t>±4.2 ppm</w:t>
            </w:r>
          </w:p>
        </w:tc>
      </w:tr>
      <w:tr>
        <w:tc>
          <w:tcPr>
            <w:tcW w:type="dxa" w:w="2592"/>
            <w:shd w:fill="DCE6F1" w:val="clear"/>
          </w:tcPr>
          <w:p>
            <w:r>
              <w:rPr>
                <w:sz w:val="20"/>
              </w:rPr>
              <w:t>NTC Thermistor</w:t>
            </w:r>
          </w:p>
        </w:tc>
        <w:tc>
          <w:tcPr>
            <w:tcW w:type="dxa" w:w="1872"/>
            <w:shd w:fill="DCE6F1" w:val="clear"/>
          </w:tcPr>
          <w:p>
            <w:r>
              <w:rPr>
                <w:sz w:val="20"/>
              </w:rPr>
              <w:t>±0.85°C</w:t>
            </w:r>
          </w:p>
        </w:tc>
        <w:tc>
          <w:tcPr>
            <w:tcW w:type="dxa" w:w="2016"/>
            <w:shd w:fill="DCE6F1" w:val="clear"/>
          </w:tcPr>
          <w:p>
            <w:r>
              <w:rPr>
                <w:sz w:val="20"/>
              </w:rPr>
              <w:t>±0.15°C</w:t>
            </w:r>
          </w:p>
        </w:tc>
        <w:tc>
          <w:tcPr>
            <w:tcW w:type="dxa" w:w="1152"/>
            <w:shd w:fill="DCE6F1" w:val="clear"/>
          </w:tcPr>
          <w:p>
            <w:r>
              <w:rPr>
                <w:sz w:val="20"/>
              </w:rPr>
              <w:t>0.998</w:t>
            </w:r>
          </w:p>
        </w:tc>
        <w:tc>
          <w:tcPr>
            <w:tcW w:type="dxa" w:w="2160"/>
            <w:shd w:fill="DCE6F1" w:val="clear"/>
          </w:tcPr>
          <w:p>
            <w:r>
              <w:rPr>
                <w:sz w:val="20"/>
              </w:rPr>
              <w:t>±0.08°C</w:t>
            </w:r>
          </w:p>
        </w:tc>
      </w:tr>
      <w:tr>
        <w:tc>
          <w:tcPr>
            <w:tcW w:type="dxa" w:w="2592"/>
          </w:tcPr>
          <w:p>
            <w:r>
              <w:rPr>
                <w:sz w:val="20"/>
              </w:rPr>
              <w:t>HC-SR04 Ultrasonic</w:t>
            </w:r>
          </w:p>
        </w:tc>
        <w:tc>
          <w:tcPr>
            <w:tcW w:type="dxa" w:w="1872"/>
          </w:tcPr>
          <w:p>
            <w:r>
              <w:rPr>
                <w:sz w:val="20"/>
              </w:rPr>
              <w:t>±2.4 cm</w:t>
            </w:r>
          </w:p>
        </w:tc>
        <w:tc>
          <w:tcPr>
            <w:tcW w:type="dxa" w:w="2016"/>
          </w:tcPr>
          <w:p>
            <w:r>
              <w:rPr>
                <w:sz w:val="20"/>
              </w:rPr>
              <w:t>±0.4 cm</w:t>
            </w:r>
          </w:p>
        </w:tc>
        <w:tc>
          <w:tcPr>
            <w:tcW w:type="dxa" w:w="1152"/>
          </w:tcPr>
          <w:p>
            <w:r>
              <w:rPr>
                <w:sz w:val="20"/>
              </w:rPr>
              <w:t>0.996</w:t>
            </w:r>
          </w:p>
        </w:tc>
        <w:tc>
          <w:tcPr>
            <w:tcW w:type="dxa" w:w="2160"/>
          </w:tcPr>
          <w:p>
            <w:r>
              <w:rPr>
                <w:sz w:val="20"/>
              </w:rPr>
              <w:t>±0.2 cm</w:t>
            </w:r>
          </w:p>
        </w:tc>
      </w:tr>
    </w:tbl>
    <w:p/>
    <w:p>
      <w:pPr>
        <w:spacing w:before="0" w:after="120"/>
        <w:jc w:val="center"/>
      </w:pPr>
      <w:r>
        <w:rPr>
          <w:b w:val="0"/>
          <w:i/>
          <w:sz w:val="20"/>
        </w:rPr>
        <w:t>Table 5.1. Sensor Calibration Accuracy Results</w:t>
      </w:r>
    </w:p>
    <w:p>
      <w:pPr>
        <w:pStyle w:val="Heading2"/>
      </w:pPr>
      <w:r>
        <w:t>5.2 Model 1: River Flood Forecasting Results</w:t>
      </w:r>
    </w:p>
    <w:tbl>
      <w:tblPr>
        <w:tblStyle w:val="TableGrid"/>
        <w:tblW w:type="auto" w:w="0"/>
        <w:tblLook w:firstColumn="1" w:firstRow="1" w:lastColumn="0" w:lastRow="0" w:noHBand="0" w:noVBand="1" w:val="04A0"/>
      </w:tblPr>
      <w:tblGrid>
        <w:gridCol w:w="3135"/>
        <w:gridCol w:w="3135"/>
        <w:gridCol w:w="3135"/>
      </w:tblGrid>
      <w:tr>
        <w:tc>
          <w:tcPr>
            <w:tcW w:type="dxa" w:w="3168"/>
            <w:shd w:fill="1F3864" w:color="FFFFFF" w:val="clear"/>
          </w:tcPr>
          <w:p>
            <w:r>
              <w:rPr>
                <w:b/>
                <w:color w:val="FFFFFF"/>
                <w:sz w:val="20"/>
              </w:rPr>
              <w:t>Attribute</w:t>
            </w:r>
          </w:p>
        </w:tc>
        <w:tc>
          <w:tcPr>
            <w:tcW w:type="dxa" w:w="2592"/>
            <w:shd w:fill="1F3864" w:color="FFFFFF" w:val="clear"/>
          </w:tcPr>
          <w:p>
            <w:r>
              <w:rPr>
                <w:b/>
                <w:color w:val="FFFFFF"/>
                <w:sz w:val="20"/>
              </w:rPr>
              <w:t>Value</w:t>
            </w:r>
          </w:p>
        </w:tc>
        <w:tc>
          <w:tcPr>
            <w:tcW w:type="dxa" w:w="4032"/>
            <w:shd w:fill="1F3864" w:color="FFFFFF" w:val="clear"/>
          </w:tcPr>
          <w:p>
            <w:r>
              <w:rPr>
                <w:b/>
                <w:color w:val="FFFFFF"/>
                <w:sz w:val="20"/>
              </w:rPr>
              <w:t>Significance</w:t>
            </w:r>
          </w:p>
        </w:tc>
      </w:tr>
      <w:tr>
        <w:tc>
          <w:tcPr>
            <w:tcW w:type="dxa" w:w="3168"/>
            <w:shd w:fill="DCE6F1" w:val="clear"/>
          </w:tcPr>
          <w:p>
            <w:r>
              <w:rPr>
                <w:sz w:val="20"/>
              </w:rPr>
              <w:t>Study Period</w:t>
            </w:r>
          </w:p>
        </w:tc>
        <w:tc>
          <w:tcPr>
            <w:tcW w:type="dxa" w:w="2592"/>
            <w:shd w:fill="DCE6F1" w:val="clear"/>
          </w:tcPr>
          <w:p>
            <w:r>
              <w:rPr>
                <w:sz w:val="20"/>
              </w:rPr>
              <w:t>2008-01-01 to 2022-12-31</w:t>
            </w:r>
          </w:p>
        </w:tc>
        <w:tc>
          <w:tcPr>
            <w:tcW w:type="dxa" w:w="4032"/>
            <w:shd w:fill="DCE6F1" w:val="clear"/>
          </w:tcPr>
          <w:p>
            <w:r>
              <w:rPr>
                <w:sz w:val="20"/>
              </w:rPr>
              <w:t>15 continuous years</w:t>
            </w:r>
          </w:p>
        </w:tc>
      </w:tr>
      <w:tr>
        <w:tc>
          <w:tcPr>
            <w:tcW w:type="dxa" w:w="3168"/>
          </w:tcPr>
          <w:p>
            <w:r>
              <w:rPr>
                <w:sz w:val="20"/>
              </w:rPr>
              <w:t>Total Days</w:t>
            </w:r>
          </w:p>
        </w:tc>
        <w:tc>
          <w:tcPr>
            <w:tcW w:type="dxa" w:w="2592"/>
          </w:tcPr>
          <w:p>
            <w:r>
              <w:rPr>
                <w:sz w:val="20"/>
              </w:rPr>
              <w:t>5,479</w:t>
            </w:r>
          </w:p>
        </w:tc>
        <w:tc>
          <w:tcPr>
            <w:tcW w:type="dxa" w:w="4032"/>
          </w:tcPr>
          <w:p>
            <w:r>
              <w:rPr>
                <w:sz w:val="20"/>
              </w:rPr>
              <w:t>Full seasonal cycles</w:t>
            </w:r>
          </w:p>
        </w:tc>
      </w:tr>
      <w:tr>
        <w:tc>
          <w:tcPr>
            <w:tcW w:type="dxa" w:w="3168"/>
            <w:shd w:fill="DCE6F1" w:val="clear"/>
          </w:tcPr>
          <w:p>
            <w:r>
              <w:rPr>
                <w:sz w:val="20"/>
              </w:rPr>
              <w:t>Missing Days</w:t>
            </w:r>
          </w:p>
        </w:tc>
        <w:tc>
          <w:tcPr>
            <w:tcW w:type="dxa" w:w="2592"/>
            <w:shd w:fill="DCE6F1" w:val="clear"/>
          </w:tcPr>
          <w:p>
            <w:r>
              <w:rPr>
                <w:sz w:val="20"/>
              </w:rPr>
              <w:t>335 (6.11%)</w:t>
            </w:r>
          </w:p>
        </w:tc>
        <w:tc>
          <w:tcPr>
            <w:tcW w:type="dxa" w:w="4032"/>
            <w:shd w:fill="DCE6F1" w:val="clear"/>
          </w:tcPr>
          <w:p>
            <w:r>
              <w:rPr>
                <w:sz w:val="20"/>
              </w:rPr>
              <w:t>Imputed via PCHIP</w:t>
            </w:r>
          </w:p>
        </w:tc>
      </w:tr>
      <w:tr>
        <w:tc>
          <w:tcPr>
            <w:tcW w:type="dxa" w:w="3168"/>
          </w:tcPr>
          <w:p>
            <w:r>
              <w:rPr>
                <w:sz w:val="20"/>
              </w:rPr>
              <w:t>Gauge Range</w:t>
            </w:r>
          </w:p>
        </w:tc>
        <w:tc>
          <w:tcPr>
            <w:tcW w:type="dxa" w:w="2592"/>
          </w:tcPr>
          <w:p>
            <w:r>
              <w:rPr>
                <w:sz w:val="20"/>
              </w:rPr>
              <w:t>11.68 m – 21.16 m</w:t>
            </w:r>
          </w:p>
        </w:tc>
        <w:tc>
          <w:tcPr>
            <w:tcW w:type="dxa" w:w="4032"/>
          </w:tcPr>
          <w:p>
            <w:r>
              <w:rPr>
                <w:sz w:val="20"/>
              </w:rPr>
              <w:t>Wide dynamic range</w:t>
            </w:r>
          </w:p>
        </w:tc>
      </w:tr>
      <w:tr>
        <w:tc>
          <w:tcPr>
            <w:tcW w:type="dxa" w:w="3168"/>
            <w:shd w:fill="DCE6F1" w:val="clear"/>
          </w:tcPr>
          <w:p>
            <w:r>
              <w:rPr>
                <w:sz w:val="20"/>
              </w:rPr>
              <w:t>Official Danger Level</w:t>
            </w:r>
          </w:p>
        </w:tc>
        <w:tc>
          <w:tcPr>
            <w:tcW w:type="dxa" w:w="2592"/>
            <w:shd w:fill="DCE6F1" w:val="clear"/>
          </w:tcPr>
          <w:p>
            <w:r>
              <w:rPr>
                <w:sz w:val="20"/>
              </w:rPr>
              <w:t>19.05 m</w:t>
            </w:r>
          </w:p>
        </w:tc>
        <w:tc>
          <w:tcPr>
            <w:tcW w:type="dxa" w:w="4032"/>
            <w:shd w:fill="DCE6F1" w:val="clear"/>
          </w:tcPr>
          <w:p>
            <w:r>
              <w:rPr>
                <w:sz w:val="20"/>
              </w:rPr>
              <w:t>Embankment overtopping</w:t>
            </w:r>
          </w:p>
        </w:tc>
      </w:tr>
      <w:tr>
        <w:tc>
          <w:tcPr>
            <w:tcW w:type="dxa" w:w="3168"/>
          </w:tcPr>
          <w:p>
            <w:r>
              <w:rPr>
                <w:sz w:val="20"/>
              </w:rPr>
              <w:t>Extreme Danger Level</w:t>
            </w:r>
          </w:p>
        </w:tc>
        <w:tc>
          <w:tcPr>
            <w:tcW w:type="dxa" w:w="2592"/>
          </w:tcPr>
          <w:p>
            <w:r>
              <w:rPr>
                <w:sz w:val="20"/>
              </w:rPr>
              <w:t>19.90 m</w:t>
            </w:r>
          </w:p>
        </w:tc>
        <w:tc>
          <w:tcPr>
            <w:tcW w:type="dxa" w:w="4032"/>
          </w:tcPr>
          <w:p>
            <w:r>
              <w:rPr>
                <w:sz w:val="20"/>
              </w:rPr>
              <w:t>Severe regional flooding</w:t>
            </w:r>
          </w:p>
        </w:tc>
      </w:tr>
      <w:tr>
        <w:tc>
          <w:tcPr>
            <w:tcW w:type="dxa" w:w="3168"/>
            <w:shd w:fill="DCE6F1" w:val="clear"/>
          </w:tcPr>
          <w:p>
            <w:r>
              <w:rPr>
                <w:sz w:val="20"/>
              </w:rPr>
              <w:t>Record High Water Level</w:t>
            </w:r>
          </w:p>
        </w:tc>
        <w:tc>
          <w:tcPr>
            <w:tcW w:type="dxa" w:w="2592"/>
            <w:shd w:fill="DCE6F1" w:val="clear"/>
          </w:tcPr>
          <w:p>
            <w:r>
              <w:rPr>
                <w:sz w:val="20"/>
              </w:rPr>
              <w:t>20.63 m</w:t>
            </w:r>
          </w:p>
        </w:tc>
        <w:tc>
          <w:tcPr>
            <w:tcW w:type="dxa" w:w="4032"/>
            <w:shd w:fill="DCE6F1" w:val="clear"/>
          </w:tcPr>
          <w:p>
            <w:r>
              <w:rPr>
                <w:sz w:val="20"/>
              </w:rPr>
              <w:t>2020 peak flood</w:t>
            </w:r>
          </w:p>
        </w:tc>
      </w:tr>
      <w:tr>
        <w:tc>
          <w:tcPr>
            <w:tcW w:type="dxa" w:w="3168"/>
          </w:tcPr>
          <w:p>
            <w:r>
              <w:rPr>
                <w:sz w:val="20"/>
              </w:rPr>
              <w:t>Flood Days (≥ 19.05 m)</w:t>
            </w:r>
          </w:p>
        </w:tc>
        <w:tc>
          <w:tcPr>
            <w:tcW w:type="dxa" w:w="2592"/>
          </w:tcPr>
          <w:p>
            <w:r>
              <w:rPr>
                <w:sz w:val="20"/>
              </w:rPr>
              <w:t>467 days</w:t>
            </w:r>
          </w:p>
        </w:tc>
        <w:tc>
          <w:tcPr>
            <w:tcW w:type="dxa" w:w="4032"/>
          </w:tcPr>
          <w:p>
            <w:r>
              <w:rPr>
                <w:sz w:val="20"/>
              </w:rPr>
              <w:t>Training flood events</w:t>
            </w:r>
          </w:p>
        </w:tc>
      </w:tr>
    </w:tbl>
    <w:p/>
    <w:p>
      <w:pPr>
        <w:spacing w:before="0" w:after="120"/>
        <w:jc w:val="center"/>
      </w:pPr>
      <w:r>
        <w:rPr>
          <w:b w:val="0"/>
          <w:i/>
          <w:sz w:val="20"/>
        </w:rPr>
        <w:t>Table 5.2. Bahadurabad Station Dataset Summary (2008–2022)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456"/>
            <w:shd w:fill="1F3864" w:color="FFFFFF" w:val="clear"/>
          </w:tcPr>
          <w:p>
            <w:r>
              <w:rPr>
                <w:b/>
                <w:color w:val="FFFFFF"/>
                <w:sz w:val="20"/>
              </w:rPr>
              <w:t>Model</w:t>
            </w:r>
          </w:p>
        </w:tc>
        <w:tc>
          <w:tcPr>
            <w:tcW w:type="dxa" w:w="1440"/>
            <w:shd w:fill="1F3864" w:color="FFFFFF" w:val="clear"/>
          </w:tcPr>
          <w:p>
            <w:r>
              <w:rPr>
                <w:b/>
                <w:color w:val="FFFFFF"/>
                <w:sz w:val="20"/>
              </w:rPr>
              <w:t>RMSE (m)</w:t>
            </w:r>
          </w:p>
        </w:tc>
        <w:tc>
          <w:tcPr>
            <w:tcW w:type="dxa" w:w="1440"/>
            <w:shd w:fill="1F3864" w:color="FFFFFF" w:val="clear"/>
          </w:tcPr>
          <w:p>
            <w:r>
              <w:rPr>
                <w:b/>
                <w:color w:val="FFFFFF"/>
                <w:sz w:val="20"/>
              </w:rPr>
              <w:t>MAE (m)</w:t>
            </w:r>
          </w:p>
        </w:tc>
        <w:tc>
          <w:tcPr>
            <w:tcW w:type="dxa" w:w="1440"/>
            <w:shd w:fill="1F3864" w:color="FFFFFF" w:val="clear"/>
          </w:tcPr>
          <w:p>
            <w:r>
              <w:rPr>
                <w:b/>
                <w:color w:val="FFFFFF"/>
                <w:sz w:val="20"/>
              </w:rPr>
              <w:t>NSE</w:t>
            </w:r>
          </w:p>
        </w:tc>
        <w:tc>
          <w:tcPr>
            <w:tcW w:type="dxa" w:w="1440"/>
            <w:shd w:fill="1F3864" w:color="FFFFFF" w:val="clear"/>
          </w:tcPr>
          <w:p>
            <w:r>
              <w:rPr>
                <w:b/>
                <w:color w:val="FFFFFF"/>
                <w:sz w:val="20"/>
              </w:rPr>
              <w:t>R²</w:t>
            </w:r>
          </w:p>
        </w:tc>
      </w:tr>
      <w:tr>
        <w:tc>
          <w:tcPr>
            <w:tcW w:type="dxa" w:w="3456"/>
            <w:shd w:fill="DCE6F1" w:val="clear"/>
          </w:tcPr>
          <w:p>
            <w:r>
              <w:rPr>
                <w:sz w:val="20"/>
              </w:rPr>
              <w:t>Persistence Baseline</w:t>
            </w:r>
          </w:p>
        </w:tc>
        <w:tc>
          <w:tcPr>
            <w:tcW w:type="dxa" w:w="1440"/>
            <w:shd w:fill="DCE6F1" w:val="clear"/>
          </w:tcPr>
          <w:p>
            <w:r>
              <w:rPr>
                <w:sz w:val="20"/>
              </w:rPr>
              <w:t>0.412</w:t>
            </w:r>
          </w:p>
        </w:tc>
        <w:tc>
          <w:tcPr>
            <w:tcW w:type="dxa" w:w="1440"/>
            <w:shd w:fill="DCE6F1" w:val="clear"/>
          </w:tcPr>
          <w:p>
            <w:r>
              <w:rPr>
                <w:sz w:val="20"/>
              </w:rPr>
              <w:t>0.298</w:t>
            </w:r>
          </w:p>
        </w:tc>
        <w:tc>
          <w:tcPr>
            <w:tcW w:type="dxa" w:w="1440"/>
            <w:shd w:fill="DCE6F1" w:val="clear"/>
          </w:tcPr>
          <w:p>
            <w:r>
              <w:rPr>
                <w:sz w:val="20"/>
              </w:rPr>
              <w:t>0.921</w:t>
            </w:r>
          </w:p>
        </w:tc>
        <w:tc>
          <w:tcPr>
            <w:tcW w:type="dxa" w:w="1440"/>
            <w:shd w:fill="DCE6F1" w:val="clear"/>
          </w:tcPr>
          <w:p>
            <w:r>
              <w:rPr>
                <w:sz w:val="20"/>
              </w:rPr>
              <w:t>0.921</w:t>
            </w:r>
          </w:p>
        </w:tc>
      </w:tr>
      <w:tr>
        <w:tc>
          <w:tcPr>
            <w:tcW w:type="dxa" w:w="3456"/>
          </w:tcPr>
          <w:p>
            <w:r>
              <w:rPr>
                <w:sz w:val="20"/>
              </w:rPr>
              <w:t>Persistence + Trend</w:t>
            </w:r>
          </w:p>
        </w:tc>
        <w:tc>
          <w:tcPr>
            <w:tcW w:type="dxa" w:w="1440"/>
          </w:tcPr>
          <w:p>
            <w:r>
              <w:rPr>
                <w:sz w:val="20"/>
              </w:rPr>
              <w:t>0.389</w:t>
            </w:r>
          </w:p>
        </w:tc>
        <w:tc>
          <w:tcPr>
            <w:tcW w:type="dxa" w:w="1440"/>
          </w:tcPr>
          <w:p>
            <w:r>
              <w:rPr>
                <w:sz w:val="20"/>
              </w:rPr>
              <w:t>0.271</w:t>
            </w:r>
          </w:p>
        </w:tc>
        <w:tc>
          <w:tcPr>
            <w:tcW w:type="dxa" w:w="1440"/>
          </w:tcPr>
          <w:p>
            <w:r>
              <w:rPr>
                <w:sz w:val="20"/>
              </w:rPr>
              <w:t>0.933</w:t>
            </w:r>
          </w:p>
        </w:tc>
        <w:tc>
          <w:tcPr>
            <w:tcW w:type="dxa" w:w="1440"/>
          </w:tcPr>
          <w:p>
            <w:r>
              <w:rPr>
                <w:sz w:val="20"/>
              </w:rPr>
              <w:t>0.933</w:t>
            </w:r>
          </w:p>
        </w:tc>
      </w:tr>
      <w:tr>
        <w:tc>
          <w:tcPr>
            <w:tcW w:type="dxa" w:w="3456"/>
            <w:shd w:fill="DCE6F1" w:val="clear"/>
          </w:tcPr>
          <w:p>
            <w:r>
              <w:rPr>
                <w:sz w:val="20"/>
              </w:rPr>
              <w:t>Linear Regression ★</w:t>
            </w:r>
          </w:p>
        </w:tc>
        <w:tc>
          <w:tcPr>
            <w:tcW w:type="dxa" w:w="1440"/>
            <w:shd w:fill="DCE6F1" w:val="clear"/>
          </w:tcPr>
          <w:p>
            <w:r>
              <w:rPr>
                <w:sz w:val="20"/>
              </w:rPr>
              <w:t>0.075</w:t>
            </w:r>
          </w:p>
        </w:tc>
        <w:tc>
          <w:tcPr>
            <w:tcW w:type="dxa" w:w="1440"/>
            <w:shd w:fill="DCE6F1" w:val="clear"/>
          </w:tcPr>
          <w:p>
            <w:r>
              <w:rPr>
                <w:sz w:val="20"/>
              </w:rPr>
              <w:t>0.051</w:t>
            </w:r>
          </w:p>
        </w:tc>
        <w:tc>
          <w:tcPr>
            <w:tcW w:type="dxa" w:w="1440"/>
            <w:shd w:fill="DCE6F1" w:val="clear"/>
          </w:tcPr>
          <w:p>
            <w:r>
              <w:rPr>
                <w:sz w:val="20"/>
              </w:rPr>
              <w:t>0.998</w:t>
            </w:r>
          </w:p>
        </w:tc>
        <w:tc>
          <w:tcPr>
            <w:tcW w:type="dxa" w:w="1440"/>
            <w:shd w:fill="DCE6F1" w:val="clear"/>
          </w:tcPr>
          <w:p>
            <w:r>
              <w:rPr>
                <w:sz w:val="20"/>
              </w:rPr>
              <w:t>0.998</w:t>
            </w:r>
          </w:p>
        </w:tc>
      </w:tr>
      <w:tr>
        <w:tc>
          <w:tcPr>
            <w:tcW w:type="dxa" w:w="3456"/>
          </w:tcPr>
          <w:p>
            <w:r>
              <w:rPr>
                <w:sz w:val="20"/>
              </w:rPr>
              <w:t>Ridge Regression</w:t>
            </w:r>
          </w:p>
        </w:tc>
        <w:tc>
          <w:tcPr>
            <w:tcW w:type="dxa" w:w="1440"/>
          </w:tcPr>
          <w:p>
            <w:r>
              <w:rPr>
                <w:sz w:val="20"/>
              </w:rPr>
              <w:t>0.078</w:t>
            </w:r>
          </w:p>
        </w:tc>
        <w:tc>
          <w:tcPr>
            <w:tcW w:type="dxa" w:w="1440"/>
          </w:tcPr>
          <w:p>
            <w:r>
              <w:rPr>
                <w:sz w:val="20"/>
              </w:rPr>
              <w:t>0.054</w:t>
            </w:r>
          </w:p>
        </w:tc>
        <w:tc>
          <w:tcPr>
            <w:tcW w:type="dxa" w:w="1440"/>
          </w:tcPr>
          <w:p>
            <w:r>
              <w:rPr>
                <w:sz w:val="20"/>
              </w:rPr>
              <w:t>0.997</w:t>
            </w:r>
          </w:p>
        </w:tc>
        <w:tc>
          <w:tcPr>
            <w:tcW w:type="dxa" w:w="1440"/>
          </w:tcPr>
          <w:p>
            <w:r>
              <w:rPr>
                <w:sz w:val="20"/>
              </w:rPr>
              <w:t>0.997</w:t>
            </w:r>
          </w:p>
        </w:tc>
      </w:tr>
      <w:tr>
        <w:tc>
          <w:tcPr>
            <w:tcW w:type="dxa" w:w="3456"/>
            <w:shd w:fill="DCE6F1" w:val="clear"/>
          </w:tcPr>
          <w:p>
            <w:r>
              <w:rPr>
                <w:sz w:val="20"/>
              </w:rPr>
              <w:t>Lasso Regression</w:t>
            </w:r>
          </w:p>
        </w:tc>
        <w:tc>
          <w:tcPr>
            <w:tcW w:type="dxa" w:w="1440"/>
            <w:shd w:fill="DCE6F1" w:val="clear"/>
          </w:tcPr>
          <w:p>
            <w:r>
              <w:rPr>
                <w:sz w:val="20"/>
              </w:rPr>
              <w:t>0.081</w:t>
            </w:r>
          </w:p>
        </w:tc>
        <w:tc>
          <w:tcPr>
            <w:tcW w:type="dxa" w:w="1440"/>
            <w:shd w:fill="DCE6F1" w:val="clear"/>
          </w:tcPr>
          <w:p>
            <w:r>
              <w:rPr>
                <w:sz w:val="20"/>
              </w:rPr>
              <w:t>0.057</w:t>
            </w:r>
          </w:p>
        </w:tc>
        <w:tc>
          <w:tcPr>
            <w:tcW w:type="dxa" w:w="1440"/>
            <w:shd w:fill="DCE6F1" w:val="clear"/>
          </w:tcPr>
          <w:p>
            <w:r>
              <w:rPr>
                <w:sz w:val="20"/>
              </w:rPr>
              <w:t>0.997</w:t>
            </w:r>
          </w:p>
        </w:tc>
        <w:tc>
          <w:tcPr>
            <w:tcW w:type="dxa" w:w="1440"/>
            <w:shd w:fill="DCE6F1" w:val="clear"/>
          </w:tcPr>
          <w:p>
            <w:r>
              <w:rPr>
                <w:sz w:val="20"/>
              </w:rPr>
              <w:t>0.997</w:t>
            </w:r>
          </w:p>
        </w:tc>
      </w:tr>
      <w:tr>
        <w:tc>
          <w:tcPr>
            <w:tcW w:type="dxa" w:w="3456"/>
          </w:tcPr>
          <w:p>
            <w:r>
              <w:rPr>
                <w:sz w:val="20"/>
              </w:rPr>
              <w:t>Random Forest</w:t>
            </w:r>
          </w:p>
        </w:tc>
        <w:tc>
          <w:tcPr>
            <w:tcW w:type="dxa" w:w="1440"/>
          </w:tcPr>
          <w:p>
            <w:r>
              <w:rPr>
                <w:sz w:val="20"/>
              </w:rPr>
              <w:t>0.104</w:t>
            </w:r>
          </w:p>
        </w:tc>
        <w:tc>
          <w:tcPr>
            <w:tcW w:type="dxa" w:w="1440"/>
          </w:tcPr>
          <w:p>
            <w:r>
              <w:rPr>
                <w:sz w:val="20"/>
              </w:rPr>
              <w:t>0.073</w:t>
            </w:r>
          </w:p>
        </w:tc>
        <w:tc>
          <w:tcPr>
            <w:tcW w:type="dxa" w:w="1440"/>
          </w:tcPr>
          <w:p>
            <w:r>
              <w:rPr>
                <w:sz w:val="20"/>
              </w:rPr>
              <w:t>0.994</w:t>
            </w:r>
          </w:p>
        </w:tc>
        <w:tc>
          <w:tcPr>
            <w:tcW w:type="dxa" w:w="1440"/>
          </w:tcPr>
          <w:p>
            <w:r>
              <w:rPr>
                <w:sz w:val="20"/>
              </w:rPr>
              <w:t>0.994</w:t>
            </w:r>
          </w:p>
        </w:tc>
      </w:tr>
      <w:tr>
        <w:tc>
          <w:tcPr>
            <w:tcW w:type="dxa" w:w="3456"/>
            <w:shd w:fill="DCE6F1" w:val="clear"/>
          </w:tcPr>
          <w:p>
            <w:r>
              <w:rPr>
                <w:sz w:val="20"/>
              </w:rPr>
              <w:t>XGBoost</w:t>
            </w:r>
          </w:p>
        </w:tc>
        <w:tc>
          <w:tcPr>
            <w:tcW w:type="dxa" w:w="1440"/>
            <w:shd w:fill="DCE6F1" w:val="clear"/>
          </w:tcPr>
          <w:p>
            <w:r>
              <w:rPr>
                <w:sz w:val="20"/>
              </w:rPr>
              <w:t>0.118</w:t>
            </w:r>
          </w:p>
        </w:tc>
        <w:tc>
          <w:tcPr>
            <w:tcW w:type="dxa" w:w="1440"/>
            <w:shd w:fill="DCE6F1" w:val="clear"/>
          </w:tcPr>
          <w:p>
            <w:r>
              <w:rPr>
                <w:sz w:val="20"/>
              </w:rPr>
              <w:t>0.081</w:t>
            </w:r>
          </w:p>
        </w:tc>
        <w:tc>
          <w:tcPr>
            <w:tcW w:type="dxa" w:w="1440"/>
            <w:shd w:fill="DCE6F1" w:val="clear"/>
          </w:tcPr>
          <w:p>
            <w:r>
              <w:rPr>
                <w:sz w:val="20"/>
              </w:rPr>
              <w:t>0.992</w:t>
            </w:r>
          </w:p>
        </w:tc>
        <w:tc>
          <w:tcPr>
            <w:tcW w:type="dxa" w:w="1440"/>
            <w:shd w:fill="DCE6F1" w:val="clear"/>
          </w:tcPr>
          <w:p>
            <w:r>
              <w:rPr>
                <w:sz w:val="20"/>
              </w:rPr>
              <w:t>0.992</w:t>
            </w:r>
          </w:p>
        </w:tc>
      </w:tr>
      <w:tr>
        <w:tc>
          <w:tcPr>
            <w:tcW w:type="dxa" w:w="3456"/>
          </w:tcPr>
          <w:p>
            <w:r>
              <w:rPr>
                <w:sz w:val="20"/>
              </w:rPr>
              <w:t>SVR</w:t>
            </w:r>
          </w:p>
        </w:tc>
        <w:tc>
          <w:tcPr>
            <w:tcW w:type="dxa" w:w="1440"/>
          </w:tcPr>
          <w:p>
            <w:r>
              <w:rPr>
                <w:sz w:val="20"/>
              </w:rPr>
              <w:t>0.143</w:t>
            </w:r>
          </w:p>
        </w:tc>
        <w:tc>
          <w:tcPr>
            <w:tcW w:type="dxa" w:w="1440"/>
          </w:tcPr>
          <w:p>
            <w:r>
              <w:rPr>
                <w:sz w:val="20"/>
              </w:rPr>
              <w:t>0.098</w:t>
            </w:r>
          </w:p>
        </w:tc>
        <w:tc>
          <w:tcPr>
            <w:tcW w:type="dxa" w:w="1440"/>
          </w:tcPr>
          <w:p>
            <w:r>
              <w:rPr>
                <w:sz w:val="20"/>
              </w:rPr>
              <w:t>0.988</w:t>
            </w:r>
          </w:p>
        </w:tc>
        <w:tc>
          <w:tcPr>
            <w:tcW w:type="dxa" w:w="1440"/>
          </w:tcPr>
          <w:p>
            <w:r>
              <w:rPr>
                <w:sz w:val="20"/>
              </w:rPr>
              <w:t>0.988</w:t>
            </w:r>
          </w:p>
        </w:tc>
      </w:tr>
    </w:tbl>
    <w:p/>
    <w:p>
      <w:pPr>
        <w:spacing w:before="0" w:after="120"/>
        <w:jc w:val="center"/>
      </w:pPr>
      <w:r>
        <w:rPr>
          <w:b w:val="0"/>
          <w:i/>
          <w:sz w:val="20"/>
        </w:rPr>
        <w:t>Table 5.3. LOYO Cross-Validation Results — +1 Day Forecast Horizon  (★ = Deployed model)</w:t>
      </w:r>
    </w:p>
    <w:p>
      <w:pPr>
        <w:spacing w:before="0" w:after="120"/>
        <w:jc w:val="both"/>
      </w:pPr>
      <w:r>
        <w:rPr>
          <w:b w:val="0"/>
          <w:i w:val="0"/>
          <w:sz w:val="22"/>
        </w:rPr>
        <w:t>Key Finding — Peak Extrapolation Failure: Tree-based models (Random Forest, XGBoost) are bounded by the maximum water level in their training data. During the 2020 and 2022 flood seasons, both of which produced levels near 20.50 m, tree models predicted a flat ceiling of ~19.80 m. Linear Regression correctly extrapolated the upward trend with low error. This is the structural reason Linear Regression was deployed.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456"/>
            <w:shd w:fill="1F3864" w:color="FFFFFF" w:val="clear"/>
          </w:tcPr>
          <w:p>
            <w:r>
              <w:rPr>
                <w:b/>
                <w:color w:val="FFFFFF"/>
                <w:sz w:val="20"/>
              </w:rPr>
              <w:t>Model</w:t>
            </w:r>
          </w:p>
        </w:tc>
        <w:tc>
          <w:tcPr>
            <w:tcW w:type="dxa" w:w="1584"/>
            <w:shd w:fill="1F3864" w:color="FFFFFF" w:val="clear"/>
          </w:tcPr>
          <w:p>
            <w:r>
              <w:rPr>
                <w:b/>
                <w:color w:val="FFFFFF"/>
                <w:sz w:val="20"/>
              </w:rPr>
              <w:t>RMSE (m)</w:t>
            </w:r>
          </w:p>
        </w:tc>
        <w:tc>
          <w:tcPr>
            <w:tcW w:type="dxa" w:w="1440"/>
            <w:shd w:fill="1F3864" w:color="FFFFFF" w:val="clear"/>
          </w:tcPr>
          <w:p>
            <w:r>
              <w:rPr>
                <w:b/>
                <w:color w:val="FFFFFF"/>
                <w:sz w:val="20"/>
              </w:rPr>
              <w:t>NSE</w:t>
            </w:r>
          </w:p>
        </w:tc>
        <w:tc>
          <w:tcPr>
            <w:tcW w:type="dxa" w:w="2160"/>
            <w:shd w:fill="1F3864" w:color="FFFFFF" w:val="clear"/>
          </w:tcPr>
          <w:p>
            <w:r>
              <w:rPr>
                <w:b/>
                <w:color w:val="FFFFFF"/>
                <w:sz w:val="20"/>
              </w:rPr>
              <w:t>Flood Days Missed</w:t>
            </w:r>
          </w:p>
        </w:tc>
        <w:tc>
          <w:tcPr>
            <w:tcW w:type="dxa" w:w="1728"/>
            <w:shd w:fill="1F3864" w:color="FFFFFF" w:val="clear"/>
          </w:tcPr>
          <w:p>
            <w:r>
              <w:rPr>
                <w:b/>
                <w:color w:val="FFFFFF"/>
                <w:sz w:val="20"/>
              </w:rPr>
              <w:t>False Alarms</w:t>
            </w:r>
          </w:p>
        </w:tc>
      </w:tr>
      <w:tr>
        <w:tc>
          <w:tcPr>
            <w:tcW w:type="dxa" w:w="3456"/>
            <w:shd w:fill="DCE6F1" w:val="clear"/>
          </w:tcPr>
          <w:p>
            <w:r>
              <w:rPr>
                <w:sz w:val="20"/>
              </w:rPr>
              <w:t>Persistence Baseline</w:t>
            </w:r>
          </w:p>
        </w:tc>
        <w:tc>
          <w:tcPr>
            <w:tcW w:type="dxa" w:w="1584"/>
            <w:shd w:fill="DCE6F1" w:val="clear"/>
          </w:tcPr>
          <w:p>
            <w:r>
              <w:rPr>
                <w:sz w:val="20"/>
              </w:rPr>
              <w:t>0.523</w:t>
            </w:r>
          </w:p>
        </w:tc>
        <w:tc>
          <w:tcPr>
            <w:tcW w:type="dxa" w:w="1440"/>
            <w:shd w:fill="DCE6F1" w:val="clear"/>
          </w:tcPr>
          <w:p>
            <w:r>
              <w:rPr>
                <w:sz w:val="20"/>
              </w:rPr>
              <w:t>0.898</w:t>
            </w:r>
          </w:p>
        </w:tc>
        <w:tc>
          <w:tcPr>
            <w:tcW w:type="dxa" w:w="2160"/>
            <w:shd w:fill="DCE6F1" w:val="clear"/>
          </w:tcPr>
          <w:p>
            <w:r>
              <w:rPr>
                <w:sz w:val="20"/>
              </w:rPr>
              <w:t>8</w:t>
            </w:r>
          </w:p>
        </w:tc>
        <w:tc>
          <w:tcPr>
            <w:tcW w:type="dxa" w:w="1728"/>
            <w:shd w:fill="DCE6F1" w:val="clear"/>
          </w:tcPr>
          <w:p>
            <w:r>
              <w:rPr>
                <w:sz w:val="20"/>
              </w:rPr>
              <w:t>8</w:t>
            </w:r>
          </w:p>
        </w:tc>
      </w:tr>
      <w:tr>
        <w:tc>
          <w:tcPr>
            <w:tcW w:type="dxa" w:w="3456"/>
          </w:tcPr>
          <w:p>
            <w:r>
              <w:rPr>
                <w:sz w:val="20"/>
              </w:rPr>
              <w:t>Linear Regression ★</w:t>
            </w:r>
          </w:p>
        </w:tc>
        <w:tc>
          <w:tcPr>
            <w:tcW w:type="dxa" w:w="1584"/>
          </w:tcPr>
          <w:p>
            <w:r>
              <w:rPr>
                <w:sz w:val="20"/>
              </w:rPr>
              <w:t>0.308</w:t>
            </w:r>
          </w:p>
        </w:tc>
        <w:tc>
          <w:tcPr>
            <w:tcW w:type="dxa" w:w="1440"/>
          </w:tcPr>
          <w:p>
            <w:r>
              <w:rPr>
                <w:sz w:val="20"/>
              </w:rPr>
              <w:t>0.985</w:t>
            </w:r>
          </w:p>
        </w:tc>
        <w:tc>
          <w:tcPr>
            <w:tcW w:type="dxa" w:w="2160"/>
          </w:tcPr>
          <w:p>
            <w:r>
              <w:rPr>
                <w:sz w:val="20"/>
              </w:rPr>
              <w:t>11</w:t>
            </w:r>
          </w:p>
        </w:tc>
        <w:tc>
          <w:tcPr>
            <w:tcW w:type="dxa" w:w="1728"/>
          </w:tcPr>
          <w:p>
            <w:r>
              <w:rPr>
                <w:sz w:val="20"/>
              </w:rPr>
              <w:t>3</w:t>
            </w:r>
          </w:p>
        </w:tc>
      </w:tr>
      <w:tr>
        <w:tc>
          <w:tcPr>
            <w:tcW w:type="dxa" w:w="3456"/>
            <w:shd w:fill="DCE6F1" w:val="clear"/>
          </w:tcPr>
          <w:p>
            <w:r>
              <w:rPr>
                <w:sz w:val="20"/>
              </w:rPr>
              <w:t>Random Forest</w:t>
            </w:r>
          </w:p>
        </w:tc>
        <w:tc>
          <w:tcPr>
            <w:tcW w:type="dxa" w:w="1584"/>
            <w:shd w:fill="DCE6F1" w:val="clear"/>
          </w:tcPr>
          <w:p>
            <w:r>
              <w:rPr>
                <w:sz w:val="20"/>
              </w:rPr>
              <w:t>0.412</w:t>
            </w:r>
          </w:p>
        </w:tc>
        <w:tc>
          <w:tcPr>
            <w:tcW w:type="dxa" w:w="1440"/>
            <w:shd w:fill="DCE6F1" w:val="clear"/>
          </w:tcPr>
          <w:p>
            <w:r>
              <w:rPr>
                <w:sz w:val="20"/>
              </w:rPr>
              <w:t>0.951</w:t>
            </w:r>
          </w:p>
        </w:tc>
        <w:tc>
          <w:tcPr>
            <w:tcW w:type="dxa" w:w="2160"/>
            <w:shd w:fill="DCE6F1" w:val="clear"/>
          </w:tcPr>
          <w:p>
            <w:r>
              <w:rPr>
                <w:sz w:val="20"/>
              </w:rPr>
              <w:t>12</w:t>
            </w:r>
          </w:p>
        </w:tc>
        <w:tc>
          <w:tcPr>
            <w:tcW w:type="dxa" w:w="1728"/>
            <w:shd w:fill="DCE6F1" w:val="clear"/>
          </w:tcPr>
          <w:p>
            <w:r>
              <w:rPr>
                <w:sz w:val="20"/>
              </w:rPr>
              <w:t>5</w:t>
            </w:r>
          </w:p>
        </w:tc>
      </w:tr>
      <w:tr>
        <w:tc>
          <w:tcPr>
            <w:tcW w:type="dxa" w:w="3456"/>
          </w:tcPr>
          <w:p>
            <w:r>
              <w:rPr>
                <w:sz w:val="20"/>
              </w:rPr>
              <w:t>XGBoost</w:t>
            </w:r>
          </w:p>
        </w:tc>
        <w:tc>
          <w:tcPr>
            <w:tcW w:type="dxa" w:w="1584"/>
          </w:tcPr>
          <w:p>
            <w:r>
              <w:rPr>
                <w:sz w:val="20"/>
              </w:rPr>
              <w:t>0.438</w:t>
            </w:r>
          </w:p>
        </w:tc>
        <w:tc>
          <w:tcPr>
            <w:tcW w:type="dxa" w:w="1440"/>
          </w:tcPr>
          <w:p>
            <w:r>
              <w:rPr>
                <w:sz w:val="20"/>
              </w:rPr>
              <w:t>0.944</w:t>
            </w:r>
          </w:p>
        </w:tc>
        <w:tc>
          <w:tcPr>
            <w:tcW w:type="dxa" w:w="2160"/>
          </w:tcPr>
          <w:p>
            <w:r>
              <w:rPr>
                <w:sz w:val="20"/>
              </w:rPr>
              <w:t>13</w:t>
            </w:r>
          </w:p>
        </w:tc>
        <w:tc>
          <w:tcPr>
            <w:tcW w:type="dxa" w:w="1728"/>
          </w:tcPr>
          <w:p>
            <w:r>
              <w:rPr>
                <w:sz w:val="20"/>
              </w:rPr>
              <w:t>2</w:t>
            </w:r>
          </w:p>
        </w:tc>
      </w:tr>
    </w:tbl>
    <w:p/>
    <w:p>
      <w:pPr>
        <w:spacing w:before="0" w:after="120"/>
        <w:jc w:val="center"/>
      </w:pPr>
      <w:r>
        <w:rPr>
          <w:b w:val="0"/>
          <w:i/>
          <w:sz w:val="20"/>
        </w:rPr>
        <w:t>Table 5.4. Final Holdout Test Results — 2020–2022 Test Years (3-Day Horizon)</w:t>
      </w:r>
    </w:p>
    <w:p>
      <w:pPr>
        <w:spacing w:before="0" w:after="120"/>
        <w:jc w:val="both"/>
      </w:pPr>
      <w:r>
        <w:rPr>
          <w:b w:val="0"/>
          <w:i/>
          <w:sz w:val="22"/>
        </w:rPr>
        <w:t>Safety Buffer: All ML models missed more flood days than the Persistence Baseline due to peak-smoothing. The dashboard alert threshold was set to 18.55 m — 0.5 m below the 19.05 m Danger Level — to give farmers earlier warning that compensates for this known limitation.</w:t>
      </w:r>
    </w:p>
    <w:p>
      <w:pPr>
        <w:pStyle w:val="Heading2"/>
      </w:pPr>
      <w:r>
        <w:t>5.3 Model 2: Pond TDS Forecasting Results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880"/>
            <w:shd w:fill="1F3864" w:color="FFFFFF" w:val="clear"/>
          </w:tcPr>
          <w:p>
            <w:r>
              <w:rPr>
                <w:b/>
                <w:color w:val="FFFFFF"/>
                <w:sz w:val="20"/>
              </w:rPr>
              <w:t>Model</w:t>
            </w:r>
          </w:p>
        </w:tc>
        <w:tc>
          <w:tcPr>
            <w:tcW w:type="dxa" w:w="1584"/>
            <w:shd w:fill="1F3864" w:color="FFFFFF" w:val="clear"/>
          </w:tcPr>
          <w:p>
            <w:r>
              <w:rPr>
                <w:b/>
                <w:color w:val="FFFFFF"/>
                <w:sz w:val="20"/>
              </w:rPr>
              <w:t>MAE (ppm)</w:t>
            </w:r>
          </w:p>
        </w:tc>
        <w:tc>
          <w:tcPr>
            <w:tcW w:type="dxa" w:w="1728"/>
            <w:shd w:fill="1F3864" w:color="FFFFFF" w:val="clear"/>
          </w:tcPr>
          <w:p>
            <w:r>
              <w:rPr>
                <w:b/>
                <w:color w:val="FFFFFF"/>
                <w:sz w:val="20"/>
              </w:rPr>
              <w:t>RMSE (ppm)</w:t>
            </w:r>
          </w:p>
        </w:tc>
        <w:tc>
          <w:tcPr>
            <w:tcW w:type="dxa" w:w="1296"/>
            <w:shd w:fill="1F3864" w:color="FFFFFF" w:val="clear"/>
          </w:tcPr>
          <w:p>
            <w:r>
              <w:rPr>
                <w:b/>
                <w:color w:val="FFFFFF"/>
                <w:sz w:val="20"/>
              </w:rPr>
              <w:t>R²</w:t>
            </w:r>
          </w:p>
        </w:tc>
        <w:tc>
          <w:tcPr>
            <w:tcW w:type="dxa" w:w="3024"/>
            <w:shd w:fill="1F3864" w:color="FFFFFF" w:val="clear"/>
          </w:tcPr>
          <w:p>
            <w:r>
              <w:rPr>
                <w:b/>
                <w:color w:val="FFFFFF"/>
                <w:sz w:val="20"/>
              </w:rPr>
              <w:t>Notes</w:t>
            </w:r>
          </w:p>
        </w:tc>
      </w:tr>
      <w:tr>
        <w:tc>
          <w:tcPr>
            <w:tcW w:type="dxa" w:w="2880"/>
            <w:shd w:fill="DCE6F1" w:val="clear"/>
          </w:tcPr>
          <w:p>
            <w:r>
              <w:rPr>
                <w:sz w:val="20"/>
              </w:rPr>
              <w:t>Persistence Baseline</w:t>
            </w:r>
          </w:p>
        </w:tc>
        <w:tc>
          <w:tcPr>
            <w:tcW w:type="dxa" w:w="1584"/>
            <w:shd w:fill="DCE6F1" w:val="clear"/>
          </w:tcPr>
          <w:p>
            <w:r>
              <w:rPr>
                <w:sz w:val="20"/>
              </w:rPr>
              <w:t>6.14</w:t>
            </w:r>
          </w:p>
        </w:tc>
        <w:tc>
          <w:tcPr>
            <w:tcW w:type="dxa" w:w="1728"/>
            <w:shd w:fill="DCE6F1" w:val="clear"/>
          </w:tcPr>
          <w:p>
            <w:r>
              <w:rPr>
                <w:sz w:val="20"/>
              </w:rPr>
              <w:t>8.92</w:t>
            </w:r>
          </w:p>
        </w:tc>
        <w:tc>
          <w:tcPr>
            <w:tcW w:type="dxa" w:w="1296"/>
            <w:shd w:fill="DCE6F1" w:val="clear"/>
          </w:tcPr>
          <w:p>
            <w:r>
              <w:rPr>
                <w:sz w:val="20"/>
              </w:rPr>
              <w:t>0.942</w:t>
            </w:r>
          </w:p>
        </w:tc>
        <w:tc>
          <w:tcPr>
            <w:tcW w:type="dxa" w:w="3024"/>
            <w:shd w:fill="DCE6F1" w:val="clear"/>
          </w:tcPr>
          <w:p>
            <w:r>
              <w:rPr>
                <w:sz w:val="20"/>
              </w:rPr>
              <w:t>Best R²; no trend info</w:t>
            </w:r>
          </w:p>
        </w:tc>
      </w:tr>
      <w:tr>
        <w:tc>
          <w:tcPr>
            <w:tcW w:type="dxa" w:w="2880"/>
          </w:tcPr>
          <w:p>
            <w:r>
              <w:rPr>
                <w:sz w:val="20"/>
              </w:rPr>
              <w:t>Linear Regression ★</w:t>
            </w:r>
          </w:p>
        </w:tc>
        <w:tc>
          <w:tcPr>
            <w:tcW w:type="dxa" w:w="1584"/>
          </w:tcPr>
          <w:p>
            <w:r>
              <w:rPr>
                <w:sz w:val="20"/>
              </w:rPr>
              <w:t>7.05</w:t>
            </w:r>
          </w:p>
        </w:tc>
        <w:tc>
          <w:tcPr>
            <w:tcW w:type="dxa" w:w="1728"/>
          </w:tcPr>
          <w:p>
            <w:r>
              <w:rPr>
                <w:sz w:val="20"/>
              </w:rPr>
              <w:t>10.11</w:t>
            </w:r>
          </w:p>
        </w:tc>
        <w:tc>
          <w:tcPr>
            <w:tcW w:type="dxa" w:w="1296"/>
          </w:tcPr>
          <w:p>
            <w:r>
              <w:rPr>
                <w:sz w:val="20"/>
              </w:rPr>
              <w:t>0.888</w:t>
            </w:r>
          </w:p>
        </w:tc>
        <w:tc>
          <w:tcPr>
            <w:tcW w:type="dxa" w:w="3024"/>
          </w:tcPr>
          <w:p>
            <w:r>
              <w:rPr>
                <w:sz w:val="20"/>
              </w:rPr>
              <w:t>Deployed; uses rolling trend</w:t>
            </w:r>
          </w:p>
        </w:tc>
      </w:tr>
      <w:tr>
        <w:tc>
          <w:tcPr>
            <w:tcW w:type="dxa" w:w="2880"/>
            <w:shd w:fill="DCE6F1" w:val="clear"/>
          </w:tcPr>
          <w:p>
            <w:r>
              <w:rPr>
                <w:sz w:val="20"/>
              </w:rPr>
              <w:t>Random Forest</w:t>
            </w:r>
          </w:p>
        </w:tc>
        <w:tc>
          <w:tcPr>
            <w:tcW w:type="dxa" w:w="1584"/>
            <w:shd w:fill="DCE6F1" w:val="clear"/>
          </w:tcPr>
          <w:p>
            <w:r>
              <w:rPr>
                <w:sz w:val="20"/>
              </w:rPr>
              <w:t>9.43</w:t>
            </w:r>
          </w:p>
        </w:tc>
        <w:tc>
          <w:tcPr>
            <w:tcW w:type="dxa" w:w="1728"/>
            <w:shd w:fill="DCE6F1" w:val="clear"/>
          </w:tcPr>
          <w:p>
            <w:r>
              <w:rPr>
                <w:sz w:val="20"/>
              </w:rPr>
              <w:t>13.77</w:t>
            </w:r>
          </w:p>
        </w:tc>
        <w:tc>
          <w:tcPr>
            <w:tcW w:type="dxa" w:w="1296"/>
            <w:shd w:fill="DCE6F1" w:val="clear"/>
          </w:tcPr>
          <w:p>
            <w:r>
              <w:rPr>
                <w:sz w:val="20"/>
              </w:rPr>
              <w:t>0.781</w:t>
            </w:r>
          </w:p>
        </w:tc>
        <w:tc>
          <w:tcPr>
            <w:tcW w:type="dxa" w:w="3024"/>
            <w:shd w:fill="DCE6F1" w:val="clear"/>
          </w:tcPr>
          <w:p>
            <w:r>
              <w:rPr>
                <w:sz w:val="20"/>
              </w:rPr>
              <w:t>Overfit to sensor noise</w:t>
            </w:r>
          </w:p>
        </w:tc>
      </w:tr>
      <w:tr>
        <w:tc>
          <w:tcPr>
            <w:tcW w:type="dxa" w:w="2880"/>
          </w:tcPr>
          <w:p>
            <w:r>
              <w:rPr>
                <w:sz w:val="20"/>
              </w:rPr>
              <w:t>XGBoost</w:t>
            </w:r>
          </w:p>
        </w:tc>
        <w:tc>
          <w:tcPr>
            <w:tcW w:type="dxa" w:w="1584"/>
          </w:tcPr>
          <w:p>
            <w:r>
              <w:rPr>
                <w:sz w:val="20"/>
              </w:rPr>
              <w:t>11.28</w:t>
            </w:r>
          </w:p>
        </w:tc>
        <w:tc>
          <w:tcPr>
            <w:tcW w:type="dxa" w:w="1728"/>
          </w:tcPr>
          <w:p>
            <w:r>
              <w:rPr>
                <w:sz w:val="20"/>
              </w:rPr>
              <w:t>16.33</w:t>
            </w:r>
          </w:p>
        </w:tc>
        <w:tc>
          <w:tcPr>
            <w:tcW w:type="dxa" w:w="1296"/>
          </w:tcPr>
          <w:p>
            <w:r>
              <w:rPr>
                <w:sz w:val="20"/>
              </w:rPr>
              <w:t>0.711</w:t>
            </w:r>
          </w:p>
        </w:tc>
        <w:tc>
          <w:tcPr>
            <w:tcW w:type="dxa" w:w="3024"/>
          </w:tcPr>
          <w:p>
            <w:r>
              <w:rPr>
                <w:sz w:val="20"/>
              </w:rPr>
              <w:t>Worst; most overfit</w:t>
            </w:r>
          </w:p>
        </w:tc>
      </w:tr>
    </w:tbl>
    <w:p/>
    <w:p>
      <w:pPr>
        <w:spacing w:before="0" w:after="120"/>
        <w:jc w:val="center"/>
      </w:pPr>
      <w:r>
        <w:rPr>
          <w:b w:val="0"/>
          <w:i/>
          <w:sz w:val="20"/>
        </w:rPr>
        <w:t>Table 5.5. Model 2 Performance Comparison (+60 min Horizon)  (★ = Deployed model)</w:t>
      </w:r>
    </w:p>
    <w:p>
      <w:pPr>
        <w:spacing w:before="0" w:after="120"/>
        <w:jc w:val="both"/>
      </w:pPr>
      <w:r>
        <w:rPr>
          <w:b w:val="0"/>
          <w:i w:val="0"/>
          <w:sz w:val="22"/>
        </w:rPr>
        <w:t>SHAP analysis confirmed the 6-hour rolling mean TDS and the 3-hour lag feature (TDS_t-3) as the two dominant predictors — validating the model's physical interpretability. It is learning real chemical kinetics, not noise.</w:t>
      </w:r>
    </w:p>
    <w:p>
      <w:pPr>
        <w:pStyle w:val="Heading2"/>
      </w:pPr>
      <w:r>
        <w:t>5.4 Model 3: Multivariate Anomaly Detection Results</w:t>
      </w:r>
    </w:p>
    <w:tbl>
      <w:tblPr>
        <w:tblStyle w:val="TableGrid"/>
        <w:tblW w:type="auto" w:w="0"/>
        <w:tblLook w:firstColumn="1" w:firstRow="1" w:lastColumn="0" w:lastRow="0" w:noHBand="0" w:noVBand="1" w:val="04A0"/>
      </w:tblPr>
      <w:tblGrid>
        <w:gridCol w:w="2351"/>
        <w:gridCol w:w="2351"/>
        <w:gridCol w:w="2351"/>
        <w:gridCol w:w="2351"/>
      </w:tblGrid>
      <w:tr>
        <w:tc>
          <w:tcPr>
            <w:tcW w:type="dxa" w:w="3744"/>
            <w:shd w:fill="1F3864" w:color="FFFFFF" w:val="clear"/>
          </w:tcPr>
          <w:p>
            <w:r>
              <w:rPr>
                <w:b/>
                <w:color w:val="FFFFFF"/>
                <w:sz w:val="20"/>
              </w:rPr>
              <w:t>Method</w:t>
            </w:r>
          </w:p>
        </w:tc>
        <w:tc>
          <w:tcPr>
            <w:tcW w:type="dxa" w:w="2160"/>
            <w:shd w:fill="1F3864" w:color="FFFFFF" w:val="clear"/>
          </w:tcPr>
          <w:p>
            <w:r>
              <w:rPr>
                <w:b/>
                <w:color w:val="FFFFFF"/>
                <w:sz w:val="20"/>
              </w:rPr>
              <w:t>Anomalies Detected</w:t>
            </w:r>
          </w:p>
        </w:tc>
        <w:tc>
          <w:tcPr>
            <w:tcW w:type="dxa" w:w="2592"/>
            <w:shd w:fill="1F3864" w:color="FFFFFF" w:val="clear"/>
          </w:tcPr>
          <w:p>
            <w:r>
              <w:rPr>
                <w:b/>
                <w:color w:val="FFFFFF"/>
                <w:sz w:val="20"/>
              </w:rPr>
              <w:t>Estimated True Positives</w:t>
            </w:r>
          </w:p>
        </w:tc>
        <w:tc>
          <w:tcPr>
            <w:tcW w:type="dxa" w:w="1440"/>
            <w:shd w:fill="1F3864" w:color="FFFFFF" w:val="clear"/>
          </w:tcPr>
          <w:p>
            <w:r>
              <w:rPr>
                <w:b/>
                <w:color w:val="FFFFFF"/>
                <w:sz w:val="20"/>
              </w:rPr>
              <w:t>Type</w:t>
            </w:r>
          </w:p>
        </w:tc>
      </w:tr>
      <w:tr>
        <w:tc>
          <w:tcPr>
            <w:tcW w:type="dxa" w:w="3744"/>
            <w:shd w:fill="DCE6F1" w:val="clear"/>
          </w:tcPr>
          <w:p>
            <w:r>
              <w:rPr>
                <w:sz w:val="20"/>
              </w:rPr>
              <w:t>Standard Z-Score (single parameter)</w:t>
            </w:r>
          </w:p>
        </w:tc>
        <w:tc>
          <w:tcPr>
            <w:tcW w:type="dxa" w:w="2160"/>
            <w:shd w:fill="DCE6F1" w:val="clear"/>
          </w:tcPr>
          <w:p>
            <w:r>
              <w:rPr>
                <w:sz w:val="20"/>
              </w:rPr>
              <w:t>55</w:t>
            </w:r>
          </w:p>
        </w:tc>
        <w:tc>
          <w:tcPr>
            <w:tcW w:type="dxa" w:w="2592"/>
            <w:shd w:fill="DCE6F1" w:val="clear"/>
          </w:tcPr>
          <w:p>
            <w:r>
              <w:rPr>
                <w:sz w:val="20"/>
              </w:rPr>
              <w:t>38</w:t>
            </w:r>
          </w:p>
        </w:tc>
        <w:tc>
          <w:tcPr>
            <w:tcW w:type="dxa" w:w="1440"/>
            <w:shd w:fill="DCE6F1" w:val="clear"/>
          </w:tcPr>
          <w:p>
            <w:r>
              <w:rPr>
                <w:sz w:val="20"/>
              </w:rPr>
              <w:t>Univariate</w:t>
            </w:r>
          </w:p>
        </w:tc>
      </w:tr>
      <w:tr>
        <w:tc>
          <w:tcPr>
            <w:tcW w:type="dxa" w:w="3744"/>
          </w:tcPr>
          <w:p>
            <w:r>
              <w:rPr>
                <w:sz w:val="20"/>
              </w:rPr>
              <w:t>Isolation Forest (AquaGuard) ★</w:t>
            </w:r>
          </w:p>
        </w:tc>
        <w:tc>
          <w:tcPr>
            <w:tcW w:type="dxa" w:w="2160"/>
          </w:tcPr>
          <w:p>
            <w:r>
              <w:rPr>
                <w:sz w:val="20"/>
              </w:rPr>
              <w:t>67</w:t>
            </w:r>
          </w:p>
        </w:tc>
        <w:tc>
          <w:tcPr>
            <w:tcW w:type="dxa" w:w="2592"/>
          </w:tcPr>
          <w:p>
            <w:r>
              <w:rPr>
                <w:sz w:val="20"/>
              </w:rPr>
              <w:t>51</w:t>
            </w:r>
          </w:p>
        </w:tc>
        <w:tc>
          <w:tcPr>
            <w:tcW w:type="dxa" w:w="1440"/>
          </w:tcPr>
          <w:p>
            <w:r>
              <w:rPr>
                <w:sz w:val="20"/>
              </w:rPr>
              <w:t>Multivariate</w:t>
            </w:r>
          </w:p>
        </w:tc>
      </w:tr>
    </w:tbl>
    <w:p/>
    <w:p>
      <w:pPr>
        <w:spacing w:before="0" w:after="120"/>
        <w:jc w:val="center"/>
      </w:pPr>
      <w:r>
        <w:rPr>
          <w:b w:val="0"/>
          <w:i/>
          <w:sz w:val="20"/>
        </w:rPr>
        <w:t>Table 5.6. Anomaly Detection Comparison  (★ = Deployed)</w:t>
      </w:r>
    </w:p>
    <w:p>
      <w:pPr>
        <w:spacing w:before="0" w:after="120"/>
        <w:jc w:val="both"/>
      </w:pPr>
      <w:r>
        <w:rPr>
          <w:b w:val="0"/>
          <w:i w:val="0"/>
          <w:sz w:val="22"/>
        </w:rPr>
        <w:t>The 12 additional anomalies caught by Isolation Forest are multivariate events — conditions where no individual parameter crossed its danger threshold but the combination was harmful. Most common example: pH 8.2 (within safe range) combined with temperature 32°C (within safe range), which together produce lethal ammonia concentrations.</w:t>
      </w:r>
    </w:p>
    <w:p>
      <w:pPr>
        <w:pStyle w:val="Heading2"/>
      </w:pPr>
      <w:r>
        <w:t>5.5 System Latency</w:t>
      </w:r>
    </w:p>
    <w:tbl>
      <w:tblPr>
        <w:tblStyle w:val="TableGrid"/>
        <w:tblW w:type="auto" w:w="0"/>
        <w:tblLook w:firstColumn="1" w:firstRow="1" w:lastColumn="0" w:lastRow="0" w:noHBand="0" w:noVBand="1" w:val="04A0"/>
      </w:tblPr>
      <w:tblGrid>
        <w:gridCol w:w="4702"/>
        <w:gridCol w:w="4702"/>
      </w:tblGrid>
      <w:tr>
        <w:tc>
          <w:tcPr>
            <w:tcW w:type="dxa" w:w="4320"/>
            <w:shd w:fill="1F3864" w:color="FFFFFF" w:val="clear"/>
          </w:tcPr>
          <w:p>
            <w:r>
              <w:rPr>
                <w:b/>
                <w:color w:val="FFFFFF"/>
                <w:sz w:val="20"/>
              </w:rPr>
              <w:t>Metric</w:t>
            </w:r>
          </w:p>
        </w:tc>
        <w:tc>
          <w:tcPr>
            <w:tcW w:type="dxa" w:w="5472"/>
            <w:shd w:fill="1F3864" w:color="FFFFFF" w:val="clear"/>
          </w:tcPr>
          <w:p>
            <w:r>
              <w:rPr>
                <w:b/>
                <w:color w:val="FFFFFF"/>
                <w:sz w:val="20"/>
              </w:rPr>
              <w:t>Measured Value</w:t>
            </w:r>
          </w:p>
        </w:tc>
      </w:tr>
      <w:tr>
        <w:tc>
          <w:tcPr>
            <w:tcW w:type="dxa" w:w="4320"/>
            <w:shd w:fill="DCE6F1" w:val="clear"/>
          </w:tcPr>
          <w:p>
            <w:r>
              <w:rPr>
                <w:sz w:val="20"/>
              </w:rPr>
              <w:t>Firebase read → dashboard update</w:t>
            </w:r>
          </w:p>
        </w:tc>
        <w:tc>
          <w:tcPr>
            <w:tcW w:type="dxa" w:w="5472"/>
            <w:shd w:fill="DCE6F1" w:val="clear"/>
          </w:tcPr>
          <w:p>
            <w:r>
              <w:rPr>
                <w:sz w:val="20"/>
              </w:rPr>
              <w:t>&lt; 1 second (WebSocket push)</w:t>
            </w:r>
          </w:p>
        </w:tc>
      </w:tr>
      <w:tr>
        <w:tc>
          <w:tcPr>
            <w:tcW w:type="dxa" w:w="4320"/>
          </w:tcPr>
          <w:p>
            <w:r>
              <w:rPr>
                <w:sz w:val="20"/>
              </w:rPr>
              <w:t>FSM local rule evaluation cycle</w:t>
            </w:r>
          </w:p>
        </w:tc>
        <w:tc>
          <w:tcPr>
            <w:tcW w:type="dxa" w:w="5472"/>
          </w:tcPr>
          <w:p>
            <w:r>
              <w:rPr>
                <w:sz w:val="20"/>
              </w:rPr>
              <w:t>Every 30 seconds</w:t>
            </w:r>
          </w:p>
        </w:tc>
      </w:tr>
      <w:tr>
        <w:tc>
          <w:tcPr>
            <w:tcW w:type="dxa" w:w="4320"/>
            <w:shd w:fill="DCE6F1" w:val="clear"/>
          </w:tcPr>
          <w:p>
            <w:r>
              <w:rPr>
                <w:sz w:val="20"/>
              </w:rPr>
              <w:t>ML API response time (all 3 models)</w:t>
            </w:r>
          </w:p>
        </w:tc>
        <w:tc>
          <w:tcPr>
            <w:tcW w:type="dxa" w:w="5472"/>
            <w:shd w:fill="DCE6F1" w:val="clear"/>
          </w:tcPr>
          <w:p>
            <w:r>
              <w:rPr>
                <w:sz w:val="20"/>
              </w:rPr>
              <w:t>&lt; 250 ms on local Python server</w:t>
            </w:r>
          </w:p>
        </w:tc>
      </w:tr>
      <w:tr>
        <w:tc>
          <w:tcPr>
            <w:tcW w:type="dxa" w:w="4320"/>
          </w:tcPr>
          <w:p>
            <w:r>
              <w:rPr>
                <w:sz w:val="20"/>
              </w:rPr>
              <w:t>Pump relay trigger → action</w:t>
            </w:r>
          </w:p>
        </w:tc>
        <w:tc>
          <w:tcPr>
            <w:tcW w:type="dxa" w:w="5472"/>
          </w:tcPr>
          <w:p>
            <w:r>
              <w:rPr>
                <w:sz w:val="20"/>
              </w:rPr>
              <w:t>&lt; 500 ms from FSM evaluation</w:t>
            </w:r>
          </w:p>
        </w:tc>
      </w:tr>
    </w:tbl>
    <w:p/>
    <w:p>
      <w:pPr>
        <w:spacing w:before="0" w:after="120"/>
        <w:jc w:val="center"/>
      </w:pPr>
      <w:r>
        <w:rPr>
          <w:b w:val="0"/>
          <w:i/>
          <w:sz w:val="20"/>
        </w:rPr>
        <w:t>Table 5.7. System Latency Benchmarks</w:t>
      </w:r>
    </w:p>
    <w:p>
      <w:r>
        <w:br w:type="page"/>
      </w:r>
    </w:p>
    <w:p>
      <w:pPr>
        <w:pStyle w:val="Heading1"/>
      </w:pPr>
      <w:r>
        <w:t>Chapter 6: Conclusion and Future Work</w:t>
      </w:r>
    </w:p>
    <w:p>
      <w:pPr>
        <w:pStyle w:val="Heading2"/>
      </w:pPr>
      <w:r>
        <w:t>6.1 Conclusion</w:t>
      </w:r>
    </w:p>
    <w:p>
      <w:pPr>
        <w:spacing w:before="0" w:after="120"/>
        <w:jc w:val="both"/>
      </w:pPr>
      <w:r>
        <w:rPr>
          <w:b w:val="0"/>
          <w:i w:val="0"/>
          <w:sz w:val="22"/>
        </w:rPr>
        <w:t>AquaGuard demonstrates that a capable, multi-model aquaculture protection system can be built for under 7,200 BDT using commodity hardware and free cloud services. The key findings from this project are:</w:t>
      </w:r>
    </w:p>
    <w:p>
      <w:pPr>
        <w:pStyle w:val="ListBullet"/>
      </w:pPr>
      <w:r>
        <w:rPr>
          <w:b w:val="0"/>
          <w:i w:val="0"/>
          <w:sz w:val="22"/>
        </w:rPr>
        <w:t>Linear models beat tree models during extreme flood events because they extrapolate beyond their training range. Deploying tree models alone for flood warning risks failing precisely during the most dangerous floods.</w:t>
      </w:r>
    </w:p>
    <w:p>
      <w:pPr>
        <w:pStyle w:val="ListBullet"/>
      </w:pPr>
      <w:r>
        <w:rPr>
          <w:b w:val="0"/>
          <w:i w:val="0"/>
          <w:sz w:val="22"/>
        </w:rPr>
        <w:t>Pond TDS is slow-moving over short windows. A rolling-average linear model outperforms XGBoost for 60-minute predictions. Algorithmic complexity is not always beneficial.</w:t>
      </w:r>
    </w:p>
    <w:p>
      <w:pPr>
        <w:pStyle w:val="ListBullet"/>
      </w:pPr>
      <w:r>
        <w:rPr>
          <w:b w:val="0"/>
          <w:i w:val="0"/>
          <w:sz w:val="22"/>
        </w:rPr>
        <w:t>Unsupervised anomaly detection with multivariate delta features catches 22% more hazards than single-parameter threshold checks.</w:t>
      </w:r>
    </w:p>
    <w:p>
      <w:pPr>
        <w:pStyle w:val="ListBullet"/>
      </w:pPr>
      <w:r>
        <w:rPr>
          <w:b w:val="0"/>
          <w:i w:val="0"/>
          <w:sz w:val="22"/>
        </w:rPr>
        <w:t>A browser-based calibration architecture requiring no firmware re-flashing is critical for real-world deployment to non-technical rural farmers.</w:t>
      </w:r>
    </w:p>
    <w:p>
      <w:pPr>
        <w:pStyle w:val="Heading3"/>
      </w:pPr>
      <w:r>
        <w:t>Known Limitations</w:t>
      </w:r>
    </w:p>
    <w:p>
      <w:pPr>
        <w:pStyle w:val="ListBullet"/>
      </w:pPr>
      <w:r>
        <w:rPr>
          <w:b w:val="0"/>
          <w:i w:val="0"/>
          <w:sz w:val="22"/>
        </w:rPr>
        <w:t>Model 1 covers the Bahadurabad/Jamuna station only. The Surma-Kushiyara basin (Sylhet) flash floods are not modeled.</w:t>
      </w:r>
    </w:p>
    <w:p>
      <w:pPr>
        <w:pStyle w:val="ListBullet"/>
      </w:pPr>
      <w:r>
        <w:rPr>
          <w:b w:val="0"/>
          <w:i w:val="0"/>
          <w:sz w:val="22"/>
        </w:rPr>
        <w:t>pH probes require physical cleaning every 2–4 weeks to prevent biofilm drift.</w:t>
      </w:r>
    </w:p>
    <w:p>
      <w:pPr>
        <w:pStyle w:val="ListBullet"/>
      </w:pPr>
      <w:r>
        <w:rPr>
          <w:b w:val="0"/>
          <w:i w:val="0"/>
          <w:sz w:val="22"/>
        </w:rPr>
        <w:t>Wi-Fi dependency limits deployment to ponds within router range. Remote ponds need a GSM module.</w:t>
      </w:r>
    </w:p>
    <w:p>
      <w:pPr>
        <w:pStyle w:val="ListBullet"/>
      </w:pPr>
      <w:r>
        <w:rPr>
          <w:b w:val="0"/>
          <w:i w:val="0"/>
          <w:sz w:val="22"/>
        </w:rPr>
        <w:t>The AquaGuard_v2.ino firmware is ready to flash but has not yet been deployed to a production fish pond for longitudinal field testing.</w:t>
      </w:r>
    </w:p>
    <w:p>
      <w:pPr>
        <w:pStyle w:val="Heading2"/>
      </w:pPr>
      <w:r>
        <w:t>6.2 Future Work</w:t>
      </w:r>
    </w:p>
    <w:p>
      <w:pPr>
        <w:pStyle w:val="ListBullet"/>
      </w:pPr>
      <w:r>
        <w:rPr>
          <w:b w:val="0"/>
          <w:i w:val="0"/>
          <w:sz w:val="22"/>
        </w:rPr>
        <w:t>Multi-basin expansion: Add the Surma-Kushiyara system for Sylhet flash flood early warning (requires hourly, not daily, data).</w:t>
      </w:r>
    </w:p>
    <w:p>
      <w:pPr>
        <w:pStyle w:val="ListBullet"/>
      </w:pPr>
      <w:r>
        <w:rPr>
          <w:b w:val="0"/>
          <w:i w:val="0"/>
          <w:sz w:val="22"/>
        </w:rPr>
        <w:t>Automated SMS / WhatsApp alerts: Integrate Twilio to push anomaly and flood warnings to farmers' phones when they are offline.</w:t>
      </w:r>
    </w:p>
    <w:p>
      <w:pPr>
        <w:pStyle w:val="ListBullet"/>
      </w:pPr>
      <w:r>
        <w:rPr>
          <w:b w:val="0"/>
          <w:i w:val="0"/>
          <w:sz w:val="22"/>
        </w:rPr>
        <w:t>Closed-loop firmware automation: Automatically trigger relay pumps when Model 3 detects a severe anomaly score without manual dashboard clicks.</w:t>
      </w:r>
    </w:p>
    <w:p>
      <w:pPr>
        <w:pStyle w:val="ListBullet"/>
      </w:pPr>
      <w:r>
        <w:rPr>
          <w:b w:val="0"/>
          <w:i w:val="0"/>
          <w:sz w:val="22"/>
        </w:rPr>
        <w:t>LoRaWAN mesh: Connect multiple ponds across a 10 km radius to a single gateway for cooperative-scale monitoring.</w:t>
      </w:r>
    </w:p>
    <w:p>
      <w:pPr>
        <w:pStyle w:val="ListBullet"/>
      </w:pPr>
      <w:r>
        <w:rPr>
          <w:b w:val="0"/>
          <w:i w:val="0"/>
          <w:sz w:val="22"/>
        </w:rPr>
        <w:t>Solar off-grid power: A 50W panel and 12V LiFePO4 battery would make the device fully self-powered in areas without grid electricity.</w:t>
      </w:r>
    </w:p>
    <w:p>
      <w:r>
        <w:br w:type="page"/>
      </w:r>
    </w:p>
    <w:p>
      <w:pPr>
        <w:pStyle w:val="Heading1"/>
      </w:pPr>
      <w:r>
        <w:t>Appendix A: Hardware Pinout and API Endpoints</w:t>
      </w:r>
    </w:p>
    <w:p>
      <w:pPr>
        <w:pStyle w:val="Heading2"/>
      </w:pPr>
      <w:r>
        <w:t>A.1 Complete Hardware Pinout Specifications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296"/>
            <w:shd w:fill="1F3864" w:color="FFFFFF" w:val="clear"/>
          </w:tcPr>
          <w:p>
            <w:r>
              <w:rPr>
                <w:b/>
                <w:color w:val="FFFFFF"/>
                <w:sz w:val="20"/>
              </w:rPr>
              <w:t>ESP32 Pin</w:t>
            </w:r>
          </w:p>
        </w:tc>
        <w:tc>
          <w:tcPr>
            <w:tcW w:type="dxa" w:w="2592"/>
            <w:shd w:fill="1F3864" w:color="FFFFFF" w:val="clear"/>
          </w:tcPr>
          <w:p>
            <w:r>
              <w:rPr>
                <w:b/>
                <w:color w:val="FFFFFF"/>
                <w:sz w:val="20"/>
              </w:rPr>
              <w:t>Component</w:t>
            </w:r>
          </w:p>
        </w:tc>
        <w:tc>
          <w:tcPr>
            <w:tcW w:type="dxa" w:w="1584"/>
            <w:shd w:fill="1F3864" w:color="FFFFFF" w:val="clear"/>
          </w:tcPr>
          <w:p>
            <w:r>
              <w:rPr>
                <w:b/>
                <w:color w:val="FFFFFF"/>
                <w:sz w:val="20"/>
              </w:rPr>
              <w:t>Signal</w:t>
            </w:r>
          </w:p>
        </w:tc>
        <w:tc>
          <w:tcPr>
            <w:tcW w:type="dxa" w:w="1728"/>
            <w:shd w:fill="1F3864" w:color="FFFFFF" w:val="clear"/>
          </w:tcPr>
          <w:p>
            <w:r>
              <w:rPr>
                <w:b/>
                <w:color w:val="FFFFFF"/>
                <w:sz w:val="20"/>
              </w:rPr>
              <w:t>Voltage</w:t>
            </w:r>
          </w:p>
        </w:tc>
        <w:tc>
          <w:tcPr>
            <w:tcW w:type="dxa" w:w="3312"/>
            <w:shd w:fill="1F3864" w:color="FFFFFF" w:val="clear"/>
          </w:tcPr>
          <w:p>
            <w:r>
              <w:rPr>
                <w:b/>
                <w:color w:val="FFFFFF"/>
                <w:sz w:val="20"/>
              </w:rPr>
              <w:t>Interface / Notes</w:t>
            </w:r>
          </w:p>
        </w:tc>
      </w:tr>
      <w:tr>
        <w:tc>
          <w:tcPr>
            <w:tcW w:type="dxa" w:w="1296"/>
            <w:shd w:fill="DCE6F1" w:val="clear"/>
          </w:tcPr>
          <w:p>
            <w:r>
              <w:rPr>
                <w:sz w:val="20"/>
              </w:rPr>
              <w:t>GPIO 34</w:t>
            </w:r>
          </w:p>
        </w:tc>
        <w:tc>
          <w:tcPr>
            <w:tcW w:type="dxa" w:w="2592"/>
            <w:shd w:fill="DCE6F1" w:val="clear"/>
          </w:tcPr>
          <w:p>
            <w:r>
              <w:rPr>
                <w:sz w:val="20"/>
              </w:rPr>
              <w:t>pH Sensor (PH4502C)</w:t>
            </w:r>
          </w:p>
        </w:tc>
        <w:tc>
          <w:tcPr>
            <w:tcW w:type="dxa" w:w="1584"/>
            <w:shd w:fill="DCE6F1" w:val="clear"/>
          </w:tcPr>
          <w:p>
            <w:r>
              <w:rPr>
                <w:sz w:val="20"/>
              </w:rPr>
              <w:t>Analog Input</w:t>
            </w:r>
          </w:p>
        </w:tc>
        <w:tc>
          <w:tcPr>
            <w:tcW w:type="dxa" w:w="1728"/>
            <w:shd w:fill="DCE6F1" w:val="clear"/>
          </w:tcPr>
          <w:p>
            <w:r>
              <w:rPr>
                <w:sz w:val="20"/>
              </w:rPr>
              <w:t>0–3.3V</w:t>
            </w:r>
          </w:p>
        </w:tc>
        <w:tc>
          <w:tcPr>
            <w:tcW w:type="dxa" w:w="3312"/>
            <w:shd w:fill="DCE6F1" w:val="clear"/>
          </w:tcPr>
          <w:p>
            <w:r>
              <w:rPr>
                <w:sz w:val="20"/>
              </w:rPr>
              <w:t>ADC1 Ch6, Wi-Fi safe</w:t>
            </w:r>
          </w:p>
        </w:tc>
      </w:tr>
      <w:tr>
        <w:tc>
          <w:tcPr>
            <w:tcW w:type="dxa" w:w="1296"/>
          </w:tcPr>
          <w:p>
            <w:r>
              <w:rPr>
                <w:sz w:val="20"/>
              </w:rPr>
              <w:t>GPIO 35</w:t>
            </w:r>
          </w:p>
        </w:tc>
        <w:tc>
          <w:tcPr>
            <w:tcW w:type="dxa" w:w="2592"/>
          </w:tcPr>
          <w:p>
            <w:r>
              <w:rPr>
                <w:sz w:val="20"/>
              </w:rPr>
              <w:t>TDS Sensor</w:t>
            </w:r>
          </w:p>
        </w:tc>
        <w:tc>
          <w:tcPr>
            <w:tcW w:type="dxa" w:w="1584"/>
          </w:tcPr>
          <w:p>
            <w:r>
              <w:rPr>
                <w:sz w:val="20"/>
              </w:rPr>
              <w:t>Analog Input</w:t>
            </w:r>
          </w:p>
        </w:tc>
        <w:tc>
          <w:tcPr>
            <w:tcW w:type="dxa" w:w="1728"/>
          </w:tcPr>
          <w:p>
            <w:r>
              <w:rPr>
                <w:sz w:val="20"/>
              </w:rPr>
              <w:t>0–2.3V</w:t>
            </w:r>
          </w:p>
        </w:tc>
        <w:tc>
          <w:tcPr>
            <w:tcW w:type="dxa" w:w="3312"/>
          </w:tcPr>
          <w:p>
            <w:r>
              <w:rPr>
                <w:sz w:val="20"/>
              </w:rPr>
              <w:t>ADC1 Ch7, Wi-Fi safe</w:t>
            </w:r>
          </w:p>
        </w:tc>
      </w:tr>
      <w:tr>
        <w:tc>
          <w:tcPr>
            <w:tcW w:type="dxa" w:w="1296"/>
            <w:shd w:fill="DCE6F1" w:val="clear"/>
          </w:tcPr>
          <w:p>
            <w:r>
              <w:rPr>
                <w:sz w:val="20"/>
              </w:rPr>
              <w:t>GPIO 32</w:t>
            </w:r>
          </w:p>
        </w:tc>
        <w:tc>
          <w:tcPr>
            <w:tcW w:type="dxa" w:w="2592"/>
            <w:shd w:fill="DCE6F1" w:val="clear"/>
          </w:tcPr>
          <w:p>
            <w:r>
              <w:rPr>
                <w:sz w:val="20"/>
              </w:rPr>
              <w:t>NTC Thermistor</w:t>
            </w:r>
          </w:p>
        </w:tc>
        <w:tc>
          <w:tcPr>
            <w:tcW w:type="dxa" w:w="1584"/>
            <w:shd w:fill="DCE6F1" w:val="clear"/>
          </w:tcPr>
          <w:p>
            <w:r>
              <w:rPr>
                <w:sz w:val="20"/>
              </w:rPr>
              <w:t>Analog Input</w:t>
            </w:r>
          </w:p>
        </w:tc>
        <w:tc>
          <w:tcPr>
            <w:tcW w:type="dxa" w:w="1728"/>
            <w:shd w:fill="DCE6F1" w:val="clear"/>
          </w:tcPr>
          <w:p>
            <w:r>
              <w:rPr>
                <w:sz w:val="20"/>
              </w:rPr>
              <w:t>3.3V</w:t>
            </w:r>
          </w:p>
        </w:tc>
        <w:tc>
          <w:tcPr>
            <w:tcW w:type="dxa" w:w="3312"/>
            <w:shd w:fill="DCE6F1" w:val="clear"/>
          </w:tcPr>
          <w:p>
            <w:r>
              <w:rPr>
                <w:sz w:val="20"/>
              </w:rPr>
              <w:t>4.7 kΩ pull-down divider</w:t>
            </w:r>
          </w:p>
        </w:tc>
      </w:tr>
      <w:tr>
        <w:tc>
          <w:tcPr>
            <w:tcW w:type="dxa" w:w="1296"/>
          </w:tcPr>
          <w:p>
            <w:r>
              <w:rPr>
                <w:sz w:val="20"/>
              </w:rPr>
              <w:t>GPIO 5</w:t>
            </w:r>
          </w:p>
        </w:tc>
        <w:tc>
          <w:tcPr>
            <w:tcW w:type="dxa" w:w="2592"/>
          </w:tcPr>
          <w:p>
            <w:r>
              <w:rPr>
                <w:sz w:val="20"/>
              </w:rPr>
              <w:t>HC-SR04 TRIG</w:t>
            </w:r>
          </w:p>
        </w:tc>
        <w:tc>
          <w:tcPr>
            <w:tcW w:type="dxa" w:w="1584"/>
          </w:tcPr>
          <w:p>
            <w:r>
              <w:rPr>
                <w:sz w:val="20"/>
              </w:rPr>
              <w:t>Digital Output</w:t>
            </w:r>
          </w:p>
        </w:tc>
        <w:tc>
          <w:tcPr>
            <w:tcW w:type="dxa" w:w="1728"/>
          </w:tcPr>
          <w:p>
            <w:r>
              <w:rPr>
                <w:sz w:val="20"/>
              </w:rPr>
              <w:t>3.3V/5V TTL</w:t>
            </w:r>
          </w:p>
        </w:tc>
        <w:tc>
          <w:tcPr>
            <w:tcW w:type="dxa" w:w="3312"/>
          </w:tcPr>
          <w:p>
            <w:r>
              <w:rPr>
                <w:sz w:val="20"/>
              </w:rPr>
              <w:t>10 μs trigger pulse</w:t>
            </w:r>
          </w:p>
        </w:tc>
      </w:tr>
      <w:tr>
        <w:tc>
          <w:tcPr>
            <w:tcW w:type="dxa" w:w="1296"/>
            <w:shd w:fill="DCE6F1" w:val="clear"/>
          </w:tcPr>
          <w:p>
            <w:r>
              <w:rPr>
                <w:sz w:val="20"/>
              </w:rPr>
              <w:t>GPIO 18</w:t>
            </w:r>
          </w:p>
        </w:tc>
        <w:tc>
          <w:tcPr>
            <w:tcW w:type="dxa" w:w="2592"/>
            <w:shd w:fill="DCE6F1" w:val="clear"/>
          </w:tcPr>
          <w:p>
            <w:r>
              <w:rPr>
                <w:sz w:val="20"/>
              </w:rPr>
              <w:t>HC-SR04 ECHO</w:t>
            </w:r>
          </w:p>
        </w:tc>
        <w:tc>
          <w:tcPr>
            <w:tcW w:type="dxa" w:w="1584"/>
            <w:shd w:fill="DCE6F1" w:val="clear"/>
          </w:tcPr>
          <w:p>
            <w:r>
              <w:rPr>
                <w:sz w:val="20"/>
              </w:rPr>
              <w:t>Digital Input</w:t>
            </w:r>
          </w:p>
        </w:tc>
        <w:tc>
          <w:tcPr>
            <w:tcW w:type="dxa" w:w="1728"/>
            <w:shd w:fill="DCE6F1" w:val="clear"/>
          </w:tcPr>
          <w:p>
            <w:r>
              <w:rPr>
                <w:sz w:val="20"/>
              </w:rPr>
              <w:t>3.3V logic</w:t>
            </w:r>
          </w:p>
        </w:tc>
        <w:tc>
          <w:tcPr>
            <w:tcW w:type="dxa" w:w="3312"/>
            <w:shd w:fill="DCE6F1" w:val="clear"/>
          </w:tcPr>
          <w:p>
            <w:r>
              <w:rPr>
                <w:sz w:val="20"/>
              </w:rPr>
              <w:t>1 kΩ/2 kΩ voltage divider (5V→3.3V)</w:t>
            </w:r>
          </w:p>
        </w:tc>
      </w:tr>
      <w:tr>
        <w:tc>
          <w:tcPr>
            <w:tcW w:type="dxa" w:w="1296"/>
          </w:tcPr>
          <w:p>
            <w:r>
              <w:rPr>
                <w:sz w:val="20"/>
              </w:rPr>
              <w:t>GPIO 25</w:t>
            </w:r>
          </w:p>
        </w:tc>
        <w:tc>
          <w:tcPr>
            <w:tcW w:type="dxa" w:w="2592"/>
          </w:tcPr>
          <w:p>
            <w:r>
              <w:rPr>
                <w:sz w:val="20"/>
              </w:rPr>
              <w:t>Relay 1 — Drain Pump</w:t>
            </w:r>
          </w:p>
        </w:tc>
        <w:tc>
          <w:tcPr>
            <w:tcW w:type="dxa" w:w="1584"/>
          </w:tcPr>
          <w:p>
            <w:r>
              <w:rPr>
                <w:sz w:val="20"/>
              </w:rPr>
              <w:t>Digital Output</w:t>
            </w:r>
          </w:p>
        </w:tc>
        <w:tc>
          <w:tcPr>
            <w:tcW w:type="dxa" w:w="1728"/>
          </w:tcPr>
          <w:p>
            <w:r>
              <w:rPr>
                <w:sz w:val="20"/>
              </w:rPr>
              <w:t>5V opto-isolated</w:t>
            </w:r>
          </w:p>
        </w:tc>
        <w:tc>
          <w:tcPr>
            <w:tcW w:type="dxa" w:w="3312"/>
          </w:tcPr>
          <w:p>
            <w:r>
              <w:rPr>
                <w:sz w:val="20"/>
              </w:rPr>
              <w:t>Active-LOW optocoupler</w:t>
            </w:r>
          </w:p>
        </w:tc>
      </w:tr>
      <w:tr>
        <w:tc>
          <w:tcPr>
            <w:tcW w:type="dxa" w:w="1296"/>
            <w:shd w:fill="DCE6F1" w:val="clear"/>
          </w:tcPr>
          <w:p>
            <w:r>
              <w:rPr>
                <w:sz w:val="20"/>
              </w:rPr>
              <w:t>GPIO 26</w:t>
            </w:r>
          </w:p>
        </w:tc>
        <w:tc>
          <w:tcPr>
            <w:tcW w:type="dxa" w:w="2592"/>
            <w:shd w:fill="DCE6F1" w:val="clear"/>
          </w:tcPr>
          <w:p>
            <w:r>
              <w:rPr>
                <w:sz w:val="20"/>
              </w:rPr>
              <w:t>Relay 2 — Refill Pump</w:t>
            </w:r>
          </w:p>
        </w:tc>
        <w:tc>
          <w:tcPr>
            <w:tcW w:type="dxa" w:w="1584"/>
            <w:shd w:fill="DCE6F1" w:val="clear"/>
          </w:tcPr>
          <w:p>
            <w:r>
              <w:rPr>
                <w:sz w:val="20"/>
              </w:rPr>
              <w:t>Digital Output</w:t>
            </w:r>
          </w:p>
        </w:tc>
        <w:tc>
          <w:tcPr>
            <w:tcW w:type="dxa" w:w="1728"/>
            <w:shd w:fill="DCE6F1" w:val="clear"/>
          </w:tcPr>
          <w:p>
            <w:r>
              <w:rPr>
                <w:sz w:val="20"/>
              </w:rPr>
              <w:t>5V opto-isolated</w:t>
            </w:r>
          </w:p>
        </w:tc>
        <w:tc>
          <w:tcPr>
            <w:tcW w:type="dxa" w:w="3312"/>
            <w:shd w:fill="DCE6F1" w:val="clear"/>
          </w:tcPr>
          <w:p>
            <w:r>
              <w:rPr>
                <w:sz w:val="20"/>
              </w:rPr>
              <w:t>Active-LOW optocoupler</w:t>
            </w:r>
          </w:p>
        </w:tc>
      </w:tr>
      <w:tr>
        <w:tc>
          <w:tcPr>
            <w:tcW w:type="dxa" w:w="1296"/>
          </w:tcPr>
          <w:p>
            <w:r>
              <w:rPr>
                <w:sz w:val="20"/>
              </w:rPr>
              <w:t>GPIO 13</w:t>
            </w:r>
          </w:p>
        </w:tc>
        <w:tc>
          <w:tcPr>
            <w:tcW w:type="dxa" w:w="2592"/>
          </w:tcPr>
          <w:p>
            <w:r>
              <w:rPr>
                <w:sz w:val="20"/>
              </w:rPr>
              <w:t>Servo Motor (Feeder)</w:t>
            </w:r>
          </w:p>
        </w:tc>
        <w:tc>
          <w:tcPr>
            <w:tcW w:type="dxa" w:w="1584"/>
          </w:tcPr>
          <w:p>
            <w:r>
              <w:rPr>
                <w:sz w:val="20"/>
              </w:rPr>
              <w:t>PWM Output</w:t>
            </w:r>
          </w:p>
        </w:tc>
        <w:tc>
          <w:tcPr>
            <w:tcW w:type="dxa" w:w="1728"/>
          </w:tcPr>
          <w:p>
            <w:r>
              <w:rPr>
                <w:sz w:val="20"/>
              </w:rPr>
              <w:t>5V external</w:t>
            </w:r>
          </w:p>
        </w:tc>
        <w:tc>
          <w:tcPr>
            <w:tcW w:type="dxa" w:w="3312"/>
          </w:tcPr>
          <w:p>
            <w:r>
              <w:rPr>
                <w:sz w:val="20"/>
              </w:rPr>
              <w:t>50 Hz, 1.0–2.0 ms duty cycle</w:t>
            </w:r>
          </w:p>
        </w:tc>
      </w:tr>
      <w:tr>
        <w:tc>
          <w:tcPr>
            <w:tcW w:type="dxa" w:w="1296"/>
            <w:shd w:fill="DCE6F1" w:val="clear"/>
          </w:tcPr>
          <w:p>
            <w:r>
              <w:rPr>
                <w:sz w:val="20"/>
              </w:rPr>
              <w:t>3.3V rail</w:t>
            </w:r>
          </w:p>
        </w:tc>
        <w:tc>
          <w:tcPr>
            <w:tcW w:type="dxa" w:w="2592"/>
            <w:shd w:fill="DCE6F1" w:val="clear"/>
          </w:tcPr>
          <w:p>
            <w:r>
              <w:rPr>
                <w:sz w:val="20"/>
              </w:rPr>
              <w:t>pH + TDS sensor supply</w:t>
            </w:r>
          </w:p>
        </w:tc>
        <w:tc>
          <w:tcPr>
            <w:tcW w:type="dxa" w:w="1584"/>
            <w:shd w:fill="DCE6F1" w:val="clear"/>
          </w:tcPr>
          <w:p>
            <w:r>
              <w:rPr>
                <w:sz w:val="20"/>
              </w:rPr>
              <w:t>Power</w:t>
            </w:r>
          </w:p>
        </w:tc>
        <w:tc>
          <w:tcPr>
            <w:tcW w:type="dxa" w:w="1728"/>
            <w:shd w:fill="DCE6F1" w:val="clear"/>
          </w:tcPr>
          <w:p>
            <w:r>
              <w:rPr>
                <w:sz w:val="20"/>
              </w:rPr>
              <w:t>3.3V DC</w:t>
            </w:r>
          </w:p>
        </w:tc>
        <w:tc>
          <w:tcPr>
            <w:tcW w:type="dxa" w:w="3312"/>
            <w:shd w:fill="DCE6F1" w:val="clear"/>
          </w:tcPr>
          <w:p>
            <w:r>
              <w:rPr>
                <w:sz w:val="20"/>
              </w:rPr>
              <w:t>Used instead of 5V — protects ADC pins</w:t>
            </w:r>
          </w:p>
        </w:tc>
      </w:tr>
      <w:tr>
        <w:tc>
          <w:tcPr>
            <w:tcW w:type="dxa" w:w="1296"/>
          </w:tcPr>
          <w:p>
            <w:r>
              <w:rPr>
                <w:sz w:val="20"/>
              </w:rPr>
              <w:t>VIN/5V</w:t>
            </w:r>
          </w:p>
        </w:tc>
        <w:tc>
          <w:tcPr>
            <w:tcW w:type="dxa" w:w="2592"/>
          </w:tcPr>
          <w:p>
            <w:r>
              <w:rPr>
                <w:sz w:val="20"/>
              </w:rPr>
              <w:t>Relay + pump supply</w:t>
            </w:r>
          </w:p>
        </w:tc>
        <w:tc>
          <w:tcPr>
            <w:tcW w:type="dxa" w:w="1584"/>
          </w:tcPr>
          <w:p>
            <w:r>
              <w:rPr>
                <w:sz w:val="20"/>
              </w:rPr>
              <w:t>Power</w:t>
            </w:r>
          </w:p>
        </w:tc>
        <w:tc>
          <w:tcPr>
            <w:tcW w:type="dxa" w:w="1728"/>
          </w:tcPr>
          <w:p>
            <w:r>
              <w:rPr>
                <w:sz w:val="20"/>
              </w:rPr>
              <w:t>5V regulated</w:t>
            </w:r>
          </w:p>
        </w:tc>
        <w:tc>
          <w:tcPr>
            <w:tcW w:type="dxa" w:w="3312"/>
          </w:tcPr>
          <w:p>
            <w:r>
              <w:rPr>
                <w:sz w:val="20"/>
              </w:rPr>
              <w:t>LM2596 DC-DC buck converter output</w:t>
            </w:r>
          </w:p>
        </w:tc>
      </w:tr>
      <w:tr>
        <w:tc>
          <w:tcPr>
            <w:tcW w:type="dxa" w:w="1296"/>
            <w:shd w:fill="DCE6F1" w:val="clear"/>
          </w:tcPr>
          <w:p>
            <w:r>
              <w:rPr>
                <w:sz w:val="20"/>
              </w:rPr>
              <w:t>GND</w:t>
            </w:r>
          </w:p>
        </w:tc>
        <w:tc>
          <w:tcPr>
            <w:tcW w:type="dxa" w:w="2592"/>
            <w:shd w:fill="DCE6F1" w:val="clear"/>
          </w:tcPr>
          <w:p>
            <w:r>
              <w:rPr>
                <w:sz w:val="20"/>
              </w:rPr>
              <w:t>Common ground</w:t>
            </w:r>
          </w:p>
        </w:tc>
        <w:tc>
          <w:tcPr>
            <w:tcW w:type="dxa" w:w="1584"/>
            <w:shd w:fill="DCE6F1" w:val="clear"/>
          </w:tcPr>
          <w:p>
            <w:r>
              <w:rPr>
                <w:sz w:val="20"/>
              </w:rPr>
              <w:t>Ground</w:t>
            </w:r>
          </w:p>
        </w:tc>
        <w:tc>
          <w:tcPr>
            <w:tcW w:type="dxa" w:w="1728"/>
            <w:shd w:fill="DCE6F1" w:val="clear"/>
          </w:tcPr>
          <w:p>
            <w:r>
              <w:rPr>
                <w:sz w:val="20"/>
              </w:rPr>
              <w:t>0V</w:t>
            </w:r>
          </w:p>
        </w:tc>
        <w:tc>
          <w:tcPr>
            <w:tcW w:type="dxa" w:w="3312"/>
            <w:shd w:fill="DCE6F1" w:val="clear"/>
          </w:tcPr>
          <w:p>
            <w:r>
              <w:rPr>
                <w:sz w:val="20"/>
              </w:rPr>
              <w:t>Shared ground plane for MCU, sensors, power</w:t>
            </w:r>
          </w:p>
        </w:tc>
      </w:tr>
    </w:tbl>
    <w:p/>
    <w:p>
      <w:pPr>
        <w:spacing w:before="0" w:after="120"/>
        <w:jc w:val="center"/>
      </w:pPr>
      <w:r>
        <w:rPr>
          <w:b w:val="0"/>
          <w:i/>
          <w:sz w:val="20"/>
        </w:rPr>
        <w:t>Table A.1. Complete Hardware Pinout Specifications (verified against AquaGuard_v2.ino)</w:t>
      </w:r>
    </w:p>
    <w:p>
      <w:pPr>
        <w:pStyle w:val="Heading2"/>
      </w:pPr>
      <w:r>
        <w:t>A.2 REST API Endpoints</w:t>
      </w:r>
    </w:p>
    <w:tbl>
      <w:tblPr>
        <w:tblStyle w:val="TableGrid"/>
        <w:tblW w:type="auto" w:w="0"/>
        <w:tblLook w:firstColumn="1" w:firstRow="1" w:lastColumn="0" w:lastRow="0" w:noHBand="0" w:noVBand="1" w:val="04A0"/>
      </w:tblPr>
      <w:tblGrid>
        <w:gridCol w:w="2351"/>
        <w:gridCol w:w="2351"/>
        <w:gridCol w:w="2351"/>
        <w:gridCol w:w="2351"/>
      </w:tblGrid>
      <w:tr>
        <w:tc>
          <w:tcPr>
            <w:tcW w:type="dxa" w:w="1152"/>
            <w:shd w:fill="1F3864" w:color="FFFFFF" w:val="clear"/>
          </w:tcPr>
          <w:p>
            <w:r>
              <w:rPr>
                <w:b/>
                <w:color w:val="FFFFFF"/>
                <w:sz w:val="20"/>
              </w:rPr>
              <w:t>Method</w:t>
            </w:r>
          </w:p>
        </w:tc>
        <w:tc>
          <w:tcPr>
            <w:tcW w:type="dxa" w:w="2304"/>
            <w:shd w:fill="1F3864" w:color="FFFFFF" w:val="clear"/>
          </w:tcPr>
          <w:p>
            <w:r>
              <w:rPr>
                <w:b/>
                <w:color w:val="FFFFFF"/>
                <w:sz w:val="20"/>
              </w:rPr>
              <w:t>Route</w:t>
            </w:r>
          </w:p>
        </w:tc>
        <w:tc>
          <w:tcPr>
            <w:tcW w:type="dxa" w:w="2736"/>
            <w:shd w:fill="1F3864" w:color="FFFFFF" w:val="clear"/>
          </w:tcPr>
          <w:p>
            <w:r>
              <w:rPr>
                <w:b/>
                <w:color w:val="FFFFFF"/>
                <w:sz w:val="20"/>
              </w:rPr>
              <w:t>Parameters</w:t>
            </w:r>
          </w:p>
        </w:tc>
        <w:tc>
          <w:tcPr>
            <w:tcW w:type="dxa" w:w="3600"/>
            <w:shd w:fill="1F3864" w:color="FFFFFF" w:val="clear"/>
          </w:tcPr>
          <w:p>
            <w:r>
              <w:rPr>
                <w:b/>
                <w:color w:val="FFFFFF"/>
                <w:sz w:val="20"/>
              </w:rPr>
              <w:t>Response</w:t>
            </w:r>
          </w:p>
        </w:tc>
      </w:tr>
      <w:tr>
        <w:tc>
          <w:tcPr>
            <w:tcW w:type="dxa" w:w="1152"/>
            <w:shd w:fill="DCE6F1" w:val="clear"/>
          </w:tcPr>
          <w:p>
            <w:r>
              <w:rPr>
                <w:sz w:val="20"/>
              </w:rPr>
              <w:t>GET</w:t>
            </w:r>
          </w:p>
        </w:tc>
        <w:tc>
          <w:tcPr>
            <w:tcW w:type="dxa" w:w="2304"/>
            <w:shd w:fill="DCE6F1" w:val="clear"/>
          </w:tcPr>
          <w:p>
            <w:r>
              <w:rPr>
                <w:sz w:val="20"/>
              </w:rPr>
              <w:t>/api/v1/forecast</w:t>
            </w:r>
          </w:p>
        </w:tc>
        <w:tc>
          <w:tcPr>
            <w:tcW w:type="dxa" w:w="2736"/>
            <w:shd w:fill="DCE6F1" w:val="clear"/>
          </w:tcPr>
          <w:p>
            <w:r>
              <w:rPr>
                <w:sz w:val="20"/>
              </w:rPr>
              <w:t>horizon=1..14</w:t>
            </w:r>
          </w:p>
        </w:tc>
        <w:tc>
          <w:tcPr>
            <w:tcW w:type="dxa" w:w="3600"/>
            <w:shd w:fill="DCE6F1" w:val="clear"/>
          </w:tcPr>
          <w:p>
            <w:r>
              <w:rPr>
                <w:sz w:val="20"/>
              </w:rPr>
              <w:t>River water level forecast + bilingual farmer advice + hydrograph data</w:t>
            </w:r>
          </w:p>
        </w:tc>
      </w:tr>
      <w:tr>
        <w:tc>
          <w:tcPr>
            <w:tcW w:type="dxa" w:w="1152"/>
          </w:tcPr>
          <w:p>
            <w:r>
              <w:rPr>
                <w:sz w:val="20"/>
              </w:rPr>
              <w:t>GET</w:t>
            </w:r>
          </w:p>
        </w:tc>
        <w:tc>
          <w:tcPr>
            <w:tcW w:type="dxa" w:w="2304"/>
          </w:tcPr>
          <w:p>
            <w:r>
              <w:rPr>
                <w:sz w:val="20"/>
              </w:rPr>
              <w:t>/api/v1/tds</w:t>
            </w:r>
          </w:p>
        </w:tc>
        <w:tc>
          <w:tcPr>
            <w:tcW w:type="dxa" w:w="2736"/>
          </w:tcPr>
          <w:p>
            <w:r>
              <w:rPr>
                <w:sz w:val="20"/>
              </w:rPr>
              <w:t>device_id</w:t>
            </w:r>
          </w:p>
        </w:tc>
        <w:tc>
          <w:tcPr>
            <w:tcW w:type="dxa" w:w="3600"/>
          </w:tcPr>
          <w:p>
            <w:r>
              <w:rPr>
                <w:sz w:val="20"/>
              </w:rPr>
              <w:t>Predicted pond TDS +60 min, trend direction, SHAP feature scores</w:t>
            </w:r>
          </w:p>
        </w:tc>
      </w:tr>
      <w:tr>
        <w:tc>
          <w:tcPr>
            <w:tcW w:type="dxa" w:w="1152"/>
            <w:shd w:fill="DCE6F1" w:val="clear"/>
          </w:tcPr>
          <w:p>
            <w:r>
              <w:rPr>
                <w:sz w:val="20"/>
              </w:rPr>
              <w:t>GET</w:t>
            </w:r>
          </w:p>
        </w:tc>
        <w:tc>
          <w:tcPr>
            <w:tcW w:type="dxa" w:w="2304"/>
            <w:shd w:fill="DCE6F1" w:val="clear"/>
          </w:tcPr>
          <w:p>
            <w:r>
              <w:rPr>
                <w:sz w:val="20"/>
              </w:rPr>
              <w:t>/api/v1/anomaly</w:t>
            </w:r>
          </w:p>
        </w:tc>
        <w:tc>
          <w:tcPr>
            <w:tcW w:type="dxa" w:w="2736"/>
            <w:shd w:fill="DCE6F1" w:val="clear"/>
          </w:tcPr>
          <w:p>
            <w:r>
              <w:rPr>
                <w:sz w:val="20"/>
              </w:rPr>
              <w:t>pH, tds, temp (optional)</w:t>
            </w:r>
          </w:p>
        </w:tc>
        <w:tc>
          <w:tcPr>
            <w:tcW w:type="dxa" w:w="3600"/>
            <w:shd w:fill="DCE6F1" w:val="clear"/>
          </w:tcPr>
          <w:p>
            <w:r>
              <w:rPr>
                <w:sz w:val="20"/>
              </w:rPr>
              <w:t>Isolation Forest anomaly status, score, severity message</w:t>
            </w:r>
          </w:p>
        </w:tc>
      </w:tr>
      <w:tr>
        <w:tc>
          <w:tcPr>
            <w:tcW w:type="dxa" w:w="1152"/>
          </w:tcPr>
          <w:p>
            <w:r>
              <w:rPr>
                <w:sz w:val="20"/>
              </w:rPr>
              <w:t>GET</w:t>
            </w:r>
          </w:p>
        </w:tc>
        <w:tc>
          <w:tcPr>
            <w:tcW w:type="dxa" w:w="2304"/>
          </w:tcPr>
          <w:p>
            <w:r>
              <w:rPr>
                <w:sz w:val="20"/>
              </w:rPr>
              <w:t>/docs</w:t>
            </w:r>
          </w:p>
        </w:tc>
        <w:tc>
          <w:tcPr>
            <w:tcW w:type="dxa" w:w="2736"/>
          </w:tcPr>
          <w:p>
            <w:r>
              <w:rPr>
                <w:sz w:val="20"/>
              </w:rPr>
              <w:t>—</w:t>
            </w:r>
          </w:p>
        </w:tc>
        <w:tc>
          <w:tcPr>
            <w:tcW w:type="dxa" w:w="3600"/>
          </w:tcPr>
          <w:p>
            <w:r>
              <w:rPr>
                <w:sz w:val="20"/>
              </w:rPr>
              <w:t>Auto-generated Swagger API documentation (FastAPI built-in)</w:t>
            </w:r>
          </w:p>
        </w:tc>
      </w:tr>
    </w:tbl>
    <w:p/>
    <w:p>
      <w:pPr>
        <w:spacing w:before="0" w:after="120"/>
        <w:jc w:val="center"/>
      </w:pPr>
      <w:r>
        <w:rPr>
          <w:b w:val="0"/>
          <w:i/>
          <w:sz w:val="20"/>
        </w:rPr>
        <w:t>Table A.2. REST API Endpoints (Python FastAPI Backend, localhost:8000)</w:t>
      </w:r>
    </w:p>
    <w:p>
      <w:r>
        <w:br w:type="page"/>
      </w:r>
    </w:p>
    <w:p>
      <w:pPr>
        <w:pStyle w:val="Heading1"/>
      </w:pPr>
      <w:r>
        <w:t>References</w:t>
      </w:r>
    </w:p>
    <w:p>
      <w:pPr>
        <w:spacing w:after="80"/>
      </w:pPr>
      <w:r>
        <w:rPr>
          <w:b/>
          <w:i w:val="0"/>
          <w:sz w:val="20"/>
        </w:rPr>
        <w:t xml:space="preserve">[1]  </w:t>
      </w:r>
      <w:r>
        <w:rPr>
          <w:b w:val="0"/>
          <w:i w:val="0"/>
          <w:sz w:val="20"/>
        </w:rPr>
        <w:t>Department of Fisheries (DoF), 'Yearbook of Fisheries Statistics of Bangladesh 2022-23,' Ministry of Fisheries and Livestock, Dhaka, Bangladesh, 2023.</w:t>
      </w:r>
    </w:p>
    <w:p>
      <w:pPr>
        <w:spacing w:after="80"/>
      </w:pPr>
      <w:r>
        <w:rPr>
          <w:b/>
          <w:i w:val="0"/>
          <w:sz w:val="20"/>
        </w:rPr>
        <w:t xml:space="preserve">[2]  </w:t>
      </w:r>
      <w:r>
        <w:rPr>
          <w:b w:val="0"/>
          <w:i w:val="0"/>
          <w:sz w:val="20"/>
        </w:rPr>
        <w:t>Food and Agriculture Organization (FAO), 'The State of World Fisheries and Aquaculture 2024,' FAO, Rome, Italy, 2024.</w:t>
      </w:r>
    </w:p>
    <w:p>
      <w:pPr>
        <w:spacing w:after="80"/>
      </w:pPr>
      <w:r>
        <w:rPr>
          <w:b/>
          <w:i w:val="0"/>
          <w:sz w:val="20"/>
        </w:rPr>
        <w:t xml:space="preserve">[3]  </w:t>
      </w:r>
      <w:r>
        <w:rPr>
          <w:b w:val="0"/>
          <w:i w:val="0"/>
          <w:sz w:val="20"/>
        </w:rPr>
        <w:t>Flood Forecasting and Warning Centre (FFWC), 'Annual Flood Report 2020,' BWDB, Dhaka, Bangladesh, 2021.</w:t>
      </w:r>
    </w:p>
    <w:p>
      <w:pPr>
        <w:spacing w:after="80"/>
      </w:pPr>
      <w:r>
        <w:rPr>
          <w:b/>
          <w:i w:val="0"/>
          <w:sz w:val="20"/>
        </w:rPr>
        <w:t xml:space="preserve">[4]  </w:t>
      </w:r>
      <w:r>
        <w:rPr>
          <w:b w:val="0"/>
          <w:i w:val="0"/>
          <w:sz w:val="20"/>
        </w:rPr>
        <w:t>M. M. Rahman, M. A. Hossain, and S. Islam, 'Impact of climate change and extreme monsoon flooding on inland aquaculture in northern Bangladesh,' Journal of Water and Climate Change, vol. 12, no. 4, pp. 1420–1435, 2021.</w:t>
      </w:r>
    </w:p>
    <w:p>
      <w:pPr>
        <w:spacing w:after="80"/>
      </w:pPr>
      <w:r>
        <w:rPr>
          <w:b/>
          <w:i w:val="0"/>
          <w:sz w:val="20"/>
        </w:rPr>
        <w:t xml:space="preserve">[5]  </w:t>
      </w:r>
      <w:r>
        <w:rPr>
          <w:b w:val="0"/>
          <w:i w:val="0"/>
          <w:sz w:val="20"/>
        </w:rPr>
        <w:t>C. E. Boyd, Water Quality: An Introduction, 3rd ed., Cham, Switzerland: Springer Nature, 2020.</w:t>
      </w:r>
    </w:p>
    <w:p>
      <w:pPr>
        <w:spacing w:after="80"/>
      </w:pPr>
      <w:r>
        <w:rPr>
          <w:b/>
          <w:i w:val="0"/>
          <w:sz w:val="20"/>
        </w:rPr>
        <w:t xml:space="preserve">[6]  </w:t>
      </w:r>
      <w:r>
        <w:rPr>
          <w:b w:val="0"/>
          <w:i w:val="0"/>
          <w:sz w:val="20"/>
        </w:rPr>
        <w:t>J. E. Colt, Dissolved Gas Concentration in Water, 2nd ed., London: Academic Press, 2012.</w:t>
      </w:r>
    </w:p>
    <w:p>
      <w:pPr>
        <w:spacing w:after="80"/>
      </w:pPr>
      <w:r>
        <w:rPr>
          <w:b/>
          <w:i w:val="0"/>
          <w:sz w:val="20"/>
        </w:rPr>
        <w:t xml:space="preserve">[7]  </w:t>
      </w:r>
      <w:r>
        <w:rPr>
          <w:b w:val="0"/>
          <w:i w:val="0"/>
          <w:sz w:val="20"/>
        </w:rPr>
        <w:t>P. Saha, D. Biswas, and A. K. Das, 'IoT-based automated water quality monitoring and alert system for fish farming,' in Proc. IEEE ICSCEE, Shah Alam, Malaysia, 2018, pp. 1–6.</w:t>
      </w:r>
    </w:p>
    <w:p>
      <w:pPr>
        <w:spacing w:after="80"/>
      </w:pPr>
      <w:r>
        <w:rPr>
          <w:b/>
          <w:i w:val="0"/>
          <w:sz w:val="20"/>
        </w:rPr>
        <w:t xml:space="preserve">[8]  </w:t>
      </w:r>
      <w:r>
        <w:rPr>
          <w:b w:val="0"/>
          <w:i w:val="0"/>
          <w:sz w:val="20"/>
        </w:rPr>
        <w:t>K. R. Raju, G. H. Kumar, and M. V. Reddy, 'Automated water quality monitoring and control system for aquaculture using Raspberry Pi,' IEEE IoT Journal, vol. 7, no. 9, pp. 8412–8421, 2020.</w:t>
      </w:r>
    </w:p>
    <w:p>
      <w:pPr>
        <w:spacing w:after="80"/>
      </w:pPr>
      <w:r>
        <w:rPr>
          <w:b/>
          <w:i w:val="0"/>
          <w:sz w:val="20"/>
        </w:rPr>
        <w:t xml:space="preserve">[9]  </w:t>
      </w:r>
      <w:r>
        <w:rPr>
          <w:b w:val="0"/>
          <w:i w:val="0"/>
          <w:sz w:val="20"/>
        </w:rPr>
        <w:t>M. R. Hasan, M. S. Alam, and T. Sultana, 'Design and deployment of a low-cost IoT telemetry node for rural fish ponds in Bangladesh,' in Proc. IEEE ICEEICT, Dhaka, 2021, pp. 215–220.</w:t>
      </w:r>
    </w:p>
    <w:p>
      <w:pPr>
        <w:spacing w:after="80"/>
      </w:pPr>
      <w:r>
        <w:rPr>
          <w:b/>
          <w:i w:val="0"/>
          <w:sz w:val="20"/>
        </w:rPr>
        <w:t xml:space="preserve">[10]  </w:t>
      </w:r>
      <w:r>
        <w:rPr>
          <w:b w:val="0"/>
          <w:i w:val="0"/>
          <w:sz w:val="20"/>
        </w:rPr>
        <w:t>M. N. Islam, S. K. Roy, and R. Ahmed, 'Predictive water aeration and quality management using ESP32 edge microcontroller,' IEEE Access, vol. 10, pp. 54312–54324, 2022.</w:t>
      </w:r>
    </w:p>
    <w:p>
      <w:pPr>
        <w:spacing w:after="80"/>
      </w:pPr>
      <w:r>
        <w:rPr>
          <w:b/>
          <w:i w:val="0"/>
          <w:sz w:val="20"/>
        </w:rPr>
        <w:t xml:space="preserve">[11]  </w:t>
      </w:r>
      <w:r>
        <w:rPr>
          <w:b w:val="0"/>
          <w:i w:val="0"/>
          <w:sz w:val="20"/>
        </w:rPr>
        <w:t>X. Chen, Y. Zhang, and L. Wang, 'Industrial PLC-driven multi-parameter recirculating aquaculture control system with deep LSTM DO prediction,' Computers and Electronics in Agriculture, vol. 205, art. no. 107621, 2023.</w:t>
      </w:r>
    </w:p>
    <w:p>
      <w:pPr>
        <w:spacing w:after="80"/>
      </w:pPr>
      <w:r>
        <w:rPr>
          <w:b/>
          <w:i w:val="0"/>
          <w:sz w:val="20"/>
        </w:rPr>
        <w:t xml:space="preserve">[12]  </w:t>
      </w:r>
      <w:r>
        <w:rPr>
          <w:b w:val="0"/>
          <w:i w:val="0"/>
          <w:sz w:val="20"/>
        </w:rPr>
        <w:t>S. Ahmed, F. Farzana, and K. M. Kabir, 'Automated fish feeding and pond level management system using IoT relays and ultrasonic sensing,' in Proc. IEEE CONECCT, Bangalore, 2024, pp. 1–6.</w:t>
      </w:r>
    </w:p>
    <w:p>
      <w:pPr>
        <w:spacing w:after="80"/>
      </w:pPr>
      <w:r>
        <w:rPr>
          <w:b/>
          <w:i w:val="0"/>
          <w:sz w:val="20"/>
        </w:rPr>
        <w:t xml:space="preserve">[13]  </w:t>
      </w:r>
      <w:r>
        <w:rPr>
          <w:b w:val="0"/>
          <w:i w:val="0"/>
          <w:sz w:val="20"/>
        </w:rPr>
        <w:t>F. T. Liu, K. M. Ting, and Z.-H. Zhou, 'Isolation Forest,' in Proc. 8th IEEE ICDM, Pisa, Italy, 2008, pp. 413–422.</w:t>
      </w:r>
    </w:p>
    <w:p>
      <w:pPr>
        <w:spacing w:after="80"/>
      </w:pPr>
      <w:r>
        <w:rPr>
          <w:b/>
          <w:i w:val="0"/>
          <w:sz w:val="20"/>
        </w:rPr>
        <w:t xml:space="preserve">[14]  </w:t>
      </w:r>
      <w:r>
        <w:rPr>
          <w:b w:val="0"/>
          <w:i w:val="0"/>
          <w:sz w:val="20"/>
        </w:rPr>
        <w:t>S. M. Lundberg and S.-I. Lee, 'A unified approach to interpreting model predictions,' in Advances in Neural Information Processing Systems (NeurIPS 30), 2017, pp. 4765–4774.</w:t>
      </w:r>
    </w:p>
    <w:p>
      <w:pPr>
        <w:spacing w:after="80"/>
      </w:pPr>
      <w:r>
        <w:rPr>
          <w:b/>
          <w:i w:val="0"/>
          <w:sz w:val="20"/>
        </w:rPr>
        <w:t xml:space="preserve">[15]  </w:t>
      </w:r>
      <w:r>
        <w:rPr>
          <w:b w:val="0"/>
          <w:i w:val="0"/>
          <w:sz w:val="20"/>
        </w:rPr>
        <w:t>T. Chen and C. Guestrin, 'XGBoost: A scalable tree boosting system,' in Proc. 22nd ACM SIGKDD, 2016, pp. 785–794.</w:t>
      </w:r>
    </w:p>
    <w:p>
      <w:pPr>
        <w:spacing w:after="80"/>
      </w:pPr>
      <w:r>
        <w:rPr>
          <w:b/>
          <w:i w:val="0"/>
          <w:sz w:val="20"/>
        </w:rPr>
        <w:t xml:space="preserve">[16]  </w:t>
      </w:r>
      <w:r>
        <w:rPr>
          <w:b w:val="0"/>
          <w:i w:val="0"/>
          <w:sz w:val="20"/>
        </w:rPr>
        <w:t>L. Breiman, 'Random Forests,' Machine Learning, vol. 45, no. 1, pp. 5–32, 2001.</w:t>
      </w:r>
    </w:p>
    <w:p>
      <w:pPr>
        <w:spacing w:after="80"/>
      </w:pPr>
      <w:r>
        <w:rPr>
          <w:b/>
          <w:i w:val="0"/>
          <w:sz w:val="20"/>
        </w:rPr>
        <w:t xml:space="preserve">[17]  </w:t>
      </w:r>
      <w:r>
        <w:rPr>
          <w:b w:val="0"/>
          <w:i w:val="0"/>
          <w:sz w:val="20"/>
        </w:rPr>
        <w:t>A. E. Hoerl and R. W. Kennard, 'Ridge regression: Biased estimation for nonorthogonal problems,' Technometrics, vol. 12, no. 1, pp. 55–67, 1970.</w:t>
      </w:r>
    </w:p>
    <w:p>
      <w:pPr>
        <w:spacing w:after="80"/>
      </w:pPr>
      <w:r>
        <w:rPr>
          <w:b/>
          <w:i w:val="0"/>
          <w:sz w:val="20"/>
        </w:rPr>
        <w:t xml:space="preserve">[18]  </w:t>
      </w:r>
      <w:r>
        <w:rPr>
          <w:b w:val="0"/>
          <w:i w:val="0"/>
          <w:sz w:val="20"/>
        </w:rPr>
        <w:t>R. Tibshirani, 'Regression shrinkage and selection via the Lasso,' Journal of the Royal Statistical Society: Series B, vol. 58, no. 1, pp. 267–288, 1996.</w:t>
      </w:r>
    </w:p>
    <w:p>
      <w:pPr>
        <w:spacing w:after="80"/>
      </w:pPr>
      <w:r>
        <w:rPr>
          <w:b/>
          <w:i w:val="0"/>
          <w:sz w:val="20"/>
        </w:rPr>
        <w:t xml:space="preserve">[19]  </w:t>
      </w:r>
      <w:r>
        <w:rPr>
          <w:b w:val="0"/>
          <w:i w:val="0"/>
          <w:sz w:val="20"/>
        </w:rPr>
        <w:t>J. E. Nash and J. V. Sutcliffe, 'River flow forecasting through conceptual models part I,' Journal of Hydrology, vol. 10, no. 3, pp. 282–290, 1970.</w:t>
      </w:r>
    </w:p>
    <w:p>
      <w:pPr>
        <w:spacing w:after="80"/>
      </w:pPr>
      <w:r>
        <w:rPr>
          <w:b/>
          <w:i w:val="0"/>
          <w:sz w:val="20"/>
        </w:rPr>
        <w:t xml:space="preserve">[20]  </w:t>
      </w:r>
      <w:r>
        <w:rPr>
          <w:b w:val="0"/>
          <w:i w:val="0"/>
          <w:sz w:val="20"/>
        </w:rPr>
        <w:t>H. Hersbach et al., 'The ERA5 global reanalysis,' Quarterly Journal of the Royal Meteorological Society, vol. 146, no. 730, pp. 1999–2049, 2020.</w:t>
      </w:r>
    </w:p>
    <w:p>
      <w:pPr>
        <w:spacing w:after="80"/>
      </w:pPr>
      <w:r>
        <w:rPr>
          <w:b/>
          <w:i w:val="0"/>
          <w:sz w:val="20"/>
        </w:rPr>
        <w:t xml:space="preserve">[21]  </w:t>
      </w:r>
      <w:r>
        <w:rPr>
          <w:b w:val="0"/>
          <w:i w:val="0"/>
          <w:sz w:val="20"/>
        </w:rPr>
        <w:t>Bangladesh Water Development Board (BWDB), 'Hydrometric Data Portal: Daily Water Levels — Station SW46.9L,' BWDB Hydrology Division, Dhaka, 2024.</w:t>
      </w:r>
    </w:p>
    <w:p>
      <w:pPr>
        <w:spacing w:after="80"/>
      </w:pPr>
      <w:r>
        <w:rPr>
          <w:b/>
          <w:i w:val="0"/>
          <w:sz w:val="20"/>
        </w:rPr>
        <w:t xml:space="preserve">[22]  </w:t>
      </w:r>
      <w:r>
        <w:rPr>
          <w:b w:val="0"/>
          <w:i w:val="0"/>
          <w:sz w:val="20"/>
        </w:rPr>
        <w:t>Espressif Systems, 'ESP32 Series Datasheet: 2.4 GHz Wi-Fi and Bluetooth Combo Chip,' Espressif Systems, Shanghai, China, 2023.</w:t>
      </w:r>
    </w:p>
    <w:p>
      <w:pPr>
        <w:spacing w:after="80"/>
      </w:pPr>
      <w:r>
        <w:rPr>
          <w:b/>
          <w:i w:val="0"/>
          <w:sz w:val="20"/>
        </w:rPr>
        <w:t xml:space="preserve">[23]  </w:t>
      </w:r>
      <w:r>
        <w:rPr>
          <w:b w:val="0"/>
          <w:i w:val="0"/>
          <w:sz w:val="20"/>
        </w:rPr>
        <w:t>F. Pedregosa et al., 'Scikit-learn: Machine learning in Python,' Journal of Machine Learning Research, vol. 12, pp. 2825–2830, 2011.</w:t>
      </w:r>
    </w:p>
    <w:p>
      <w:pPr>
        <w:spacing w:after="80"/>
      </w:pPr>
      <w:r>
        <w:rPr>
          <w:b/>
          <w:i w:val="0"/>
          <w:sz w:val="20"/>
        </w:rPr>
        <w:t xml:space="preserve">[24]  </w:t>
      </w:r>
      <w:r>
        <w:rPr>
          <w:b w:val="0"/>
          <w:i w:val="0"/>
          <w:sz w:val="20"/>
        </w:rPr>
        <w:t>Board of Accreditation for Engineering and Technical Education (BAETE), 'Manual for Accrediting Undergraduate Engineering Programmes,' IEB, Dhaka, Ver. 2.1, 2023.</w:t>
      </w:r>
    </w:p>
    <w:p>
      <w:pPr>
        <w:spacing w:after="80"/>
      </w:pPr>
      <w:r>
        <w:rPr>
          <w:b/>
          <w:i w:val="0"/>
          <w:sz w:val="20"/>
        </w:rPr>
        <w:t xml:space="preserve">[25]  </w:t>
      </w:r>
      <w:r>
        <w:rPr>
          <w:b w:val="0"/>
          <w:i w:val="0"/>
          <w:sz w:val="20"/>
        </w:rPr>
        <w:t>University of Information Technology and Sciences (UITS), 'Capstone Project and Thesis Guidelines: Department of CSE,' UITS Academic Council, Dhaka, Bangladesh, 2026.</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