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Synthetic SOP - Placeholder</w:t>
      </w:r>
    </w:p>
    <w:p>
      <w:r>
        <w:t>Document ID: SOP-003</w:t>
      </w:r>
    </w:p>
    <w:p>
      <w:r>
        <w:t>Version: 1.0</w:t>
      </w:r>
    </w:p>
    <w:p>
      <w:r>
        <w:t>Effective Date: 2021-11-21</w:t>
      </w:r>
    </w:p>
    <w:p>
      <w:r>
        <w:t>Prepared by: Scientist A</w:t>
      </w:r>
    </w:p>
    <w:p>
      <w:pPr>
        <w:pStyle w:val="Heading1"/>
      </w:pPr>
      <w:r>
        <w:t>Procedure</w:t>
      </w:r>
    </w:p>
    <w:p>
      <w:r>
        <w:t>1. TBD</w:t>
      </w:r>
    </w:p>
    <w:p>
      <w:r>
        <w:t>2. lorem ipsum placeholder text</w:t>
      </w:r>
    </w:p>
    <w:p>
      <w:r>
        <w:t>3. to be decided</w:t>
      </w:r>
    </w:p>
    <w:p>
      <w:pPr>
        <w:pStyle w:val="Heading1"/>
      </w:pPr>
      <w:r>
        <w:t>Introduction</w:t>
      </w:r>
    </w:p>
    <w:p>
      <w:r>
        <w:t>This protocol describes how to screen commercial antibodies by immunoblot using wildtype (WT) and knockout (KO) cell lysates. Proteins are separated on a polyacrylamide gel and transferred to a nitrocellulose membrane. These membranes are incubated with commercial primary antibodies and then with HRP secondary antibodies. A specific band is detected in the parental cell lysis and should disappear in the KO lysate.</w:t>
      </w:r>
    </w:p>
    <w:p>
      <w:pPr>
        <w:pStyle w:val="Heading1"/>
      </w:pPr>
      <w:r>
        <w:t>Purpose</w:t>
      </w:r>
    </w:p>
    <w:p>
      <w:r>
        <w:t>Describe the standard procedure for the activity in scope.</w:t>
      </w:r>
    </w:p>
    <w:p>
      <w:pPr>
        <w:pStyle w:val="Heading1"/>
      </w:pPr>
      <w:r>
        <w:t>Scope</w:t>
      </w:r>
    </w:p>
    <w:p>
      <w:r>
        <w:t>Applicable to laboratory staff performing the described process.</w:t>
      </w:r>
    </w:p>
    <w:p>
      <w:pPr>
        <w:pStyle w:val="Heading1"/>
      </w:pPr>
      <w:r>
        <w:t>Responsibilities</w:t>
      </w:r>
    </w:p>
    <w:p>
      <w:r>
        <w:t>QA is responsible for review and approval; Authors for drafting; SMEs for review.</w:t>
      </w:r>
    </w:p>
    <w:p>
      <w:pPr>
        <w:pStyle w:val="Heading1"/>
      </w:pPr>
      <w:r>
        <w:t>Definitions</w:t>
      </w:r>
    </w:p>
    <w:p>
      <w:r>
        <w:t>WT: Wild Type; KO: Knockout; SOP: Standard Operating Procedure.</w:t>
      </w:r>
    </w:p>
    <w:p>
      <w:pPr>
        <w:pStyle w:val="Heading1"/>
      </w:pPr>
      <w:r>
        <w:t>Procedure</w:t>
      </w:r>
    </w:p>
    <w:p>
      <w:r>
        <w:t>1. Prepare materials</w:t>
        <w:br/>
        <w:t>2. Perform steps as per checklist</w:t>
        <w:br/>
        <w:t>3. Record outcomes</w:t>
      </w:r>
    </w:p>
    <w:p>
      <w:pPr>
        <w:pStyle w:val="Heading1"/>
      </w:pPr>
      <w:r>
        <w:t>References</w:t>
      </w:r>
    </w:p>
    <w:p>
      <w:r>
        <w:t>ICH Q7; ISO 13485:2016; 21 CFR Part 11</w:t>
      </w:r>
    </w:p>
    <w:p>
      <w:pPr>
        <w:pStyle w:val="Heading1"/>
      </w:pPr>
      <w:r>
        <w:t>Approvals</w:t>
      </w:r>
    </w:p>
    <w:p>
      <w:r>
        <w:t>Prepared by: __________   Reviewed by: __________   Approved by: 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