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-GUI" soll es durchschnittlichen </w:t>
            </w:r>
            <w:proofErr w:type="gramStart"/>
            <w:r w:rsidR="00855FCE" w:rsidRPr="00855FCE">
              <w:rPr>
                <w:rFonts w:cs="Arial"/>
                <w:b w:val="0"/>
                <w:bCs/>
                <w:sz w:val="20"/>
              </w:rPr>
              <w:t>Internet Nutzern</w:t>
            </w:r>
            <w:proofErr w:type="gram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</w:t>
            </w:r>
            <w:proofErr w:type="gramStart"/>
            <w:r w:rsidR="00855FCE" w:rsidRPr="00855FCE">
              <w:rPr>
                <w:rFonts w:cs="Arial"/>
                <w:b w:val="0"/>
                <w:bCs/>
                <w:sz w:val="20"/>
              </w:rPr>
              <w:t>ganz einfach</w:t>
            </w:r>
            <w:proofErr w:type="gram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 einem separaten Fenster können alle Branches betrachtet werden, der derzeitige Branch gewechselt und neue Branches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Zweites Fenster Branches</w:t>
            </w:r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Erstellen und wechseln Branches</w:t>
            </w:r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lastRenderedPageBreak/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lang w:eastAsia="de-DE"/>
        </w:rPr>
        <w:drawing>
          <wp:anchor distT="0" distB="0" distL="114300" distR="114300" simplePos="0" relativeHeight="251661312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lang w:eastAsia="de-DE"/>
        </w:rPr>
        <w:drawing>
          <wp:anchor distT="0" distB="0" distL="114300" distR="114300" simplePos="0" relativeHeight="251659264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Branches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>Auch kann man Branches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drawing>
          <wp:anchor distT="0" distB="0" distL="114300" distR="114300" simplePos="0" relativeHeight="251662336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5A11" w14:textId="77777777" w:rsidR="00695DD8" w:rsidRDefault="00695DD8">
      <w:r>
        <w:separator/>
      </w:r>
    </w:p>
  </w:endnote>
  <w:endnote w:type="continuationSeparator" w:id="0">
    <w:p w14:paraId="75D6CC0C" w14:textId="77777777" w:rsidR="00695DD8" w:rsidRDefault="00695DD8">
      <w:r>
        <w:continuationSeparator/>
      </w:r>
    </w:p>
  </w:endnote>
  <w:endnote w:type="continuationNotice" w:id="1">
    <w:p w14:paraId="6C9A35AF" w14:textId="77777777" w:rsidR="00695DD8" w:rsidRDefault="00695DD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754F" w14:textId="77777777" w:rsidR="00695DD8" w:rsidRDefault="00695DD8">
      <w:r>
        <w:separator/>
      </w:r>
    </w:p>
  </w:footnote>
  <w:footnote w:type="continuationSeparator" w:id="0">
    <w:p w14:paraId="4F2EAB63" w14:textId="77777777" w:rsidR="00695DD8" w:rsidRDefault="00695DD8">
      <w:r>
        <w:continuationSeparator/>
      </w:r>
    </w:p>
  </w:footnote>
  <w:footnote w:type="continuationNotice" w:id="1">
    <w:p w14:paraId="4473ADE1" w14:textId="77777777" w:rsidR="00695DD8" w:rsidRDefault="00695DD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773FD"/>
    <w:rsid w:val="00083B08"/>
    <w:rsid w:val="00091EBD"/>
    <w:rsid w:val="000A3F28"/>
    <w:rsid w:val="000A6831"/>
    <w:rsid w:val="000A6F13"/>
    <w:rsid w:val="000A7E6B"/>
    <w:rsid w:val="000B6989"/>
    <w:rsid w:val="000C1809"/>
    <w:rsid w:val="000D0786"/>
    <w:rsid w:val="000D3CFC"/>
    <w:rsid w:val="000F0FC0"/>
    <w:rsid w:val="000F5053"/>
    <w:rsid w:val="00103097"/>
    <w:rsid w:val="001079F8"/>
    <w:rsid w:val="0011434B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45EE"/>
    <w:rsid w:val="00180096"/>
    <w:rsid w:val="0018554E"/>
    <w:rsid w:val="00186DAE"/>
    <w:rsid w:val="00191B2E"/>
    <w:rsid w:val="00195488"/>
    <w:rsid w:val="001A0B75"/>
    <w:rsid w:val="001B5CDD"/>
    <w:rsid w:val="001C3D38"/>
    <w:rsid w:val="001D34E7"/>
    <w:rsid w:val="001E5D59"/>
    <w:rsid w:val="001E7AAD"/>
    <w:rsid w:val="001F6DD3"/>
    <w:rsid w:val="0020531B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34D1"/>
    <w:rsid w:val="00247D2E"/>
    <w:rsid w:val="002506B9"/>
    <w:rsid w:val="00254EA7"/>
    <w:rsid w:val="00256DB9"/>
    <w:rsid w:val="00257661"/>
    <w:rsid w:val="0026427B"/>
    <w:rsid w:val="00266422"/>
    <w:rsid w:val="0027590B"/>
    <w:rsid w:val="00280411"/>
    <w:rsid w:val="00283E3F"/>
    <w:rsid w:val="00285179"/>
    <w:rsid w:val="00291973"/>
    <w:rsid w:val="002A10C4"/>
    <w:rsid w:val="002A17D0"/>
    <w:rsid w:val="002A6823"/>
    <w:rsid w:val="002C11D5"/>
    <w:rsid w:val="002C40FA"/>
    <w:rsid w:val="002C55B7"/>
    <w:rsid w:val="002E3C78"/>
    <w:rsid w:val="002F0F9D"/>
    <w:rsid w:val="002F4A80"/>
    <w:rsid w:val="00300DED"/>
    <w:rsid w:val="0031120B"/>
    <w:rsid w:val="003130C9"/>
    <w:rsid w:val="00315CEE"/>
    <w:rsid w:val="00316558"/>
    <w:rsid w:val="00322D60"/>
    <w:rsid w:val="003243A1"/>
    <w:rsid w:val="00326ECC"/>
    <w:rsid w:val="00335F21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2ED8"/>
    <w:rsid w:val="00426571"/>
    <w:rsid w:val="00445289"/>
    <w:rsid w:val="004479FE"/>
    <w:rsid w:val="0045667D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1967"/>
    <w:rsid w:val="004D43BB"/>
    <w:rsid w:val="004E3CA4"/>
    <w:rsid w:val="004E57A9"/>
    <w:rsid w:val="004E7FCE"/>
    <w:rsid w:val="0050297F"/>
    <w:rsid w:val="0053499E"/>
    <w:rsid w:val="00540174"/>
    <w:rsid w:val="005404F4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A6933"/>
    <w:rsid w:val="005C1C0A"/>
    <w:rsid w:val="005C2076"/>
    <w:rsid w:val="005C4340"/>
    <w:rsid w:val="005C5878"/>
    <w:rsid w:val="005C6547"/>
    <w:rsid w:val="005D768A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655C3"/>
    <w:rsid w:val="00672EB9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95DD8"/>
    <w:rsid w:val="006B7E9D"/>
    <w:rsid w:val="006C1649"/>
    <w:rsid w:val="006C2917"/>
    <w:rsid w:val="006C2A53"/>
    <w:rsid w:val="006C728F"/>
    <w:rsid w:val="006D04A7"/>
    <w:rsid w:val="006D178C"/>
    <w:rsid w:val="006D496E"/>
    <w:rsid w:val="006D4D46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44F71"/>
    <w:rsid w:val="00755FD5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2FCB"/>
    <w:rsid w:val="007B3D4F"/>
    <w:rsid w:val="007B6FC0"/>
    <w:rsid w:val="007C33DE"/>
    <w:rsid w:val="007C71EB"/>
    <w:rsid w:val="007E02E6"/>
    <w:rsid w:val="007E1C3A"/>
    <w:rsid w:val="007E2BCE"/>
    <w:rsid w:val="008052A2"/>
    <w:rsid w:val="00814663"/>
    <w:rsid w:val="00817FD3"/>
    <w:rsid w:val="00825508"/>
    <w:rsid w:val="00855FCE"/>
    <w:rsid w:val="00861849"/>
    <w:rsid w:val="008624D5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C1342"/>
    <w:rsid w:val="008C7A3C"/>
    <w:rsid w:val="008D5998"/>
    <w:rsid w:val="008D5AE7"/>
    <w:rsid w:val="008D5E55"/>
    <w:rsid w:val="008E5A27"/>
    <w:rsid w:val="008F1C94"/>
    <w:rsid w:val="008F6C1B"/>
    <w:rsid w:val="009107B6"/>
    <w:rsid w:val="00912EC7"/>
    <w:rsid w:val="009220E5"/>
    <w:rsid w:val="00925BC7"/>
    <w:rsid w:val="00930E85"/>
    <w:rsid w:val="00946865"/>
    <w:rsid w:val="009549F9"/>
    <w:rsid w:val="00956FEC"/>
    <w:rsid w:val="0097231F"/>
    <w:rsid w:val="009753C3"/>
    <w:rsid w:val="00976C8C"/>
    <w:rsid w:val="009845A3"/>
    <w:rsid w:val="00990073"/>
    <w:rsid w:val="009A4E69"/>
    <w:rsid w:val="009B2BAE"/>
    <w:rsid w:val="009B4DF6"/>
    <w:rsid w:val="009D067C"/>
    <w:rsid w:val="009D41D5"/>
    <w:rsid w:val="009E43C0"/>
    <w:rsid w:val="009E56C7"/>
    <w:rsid w:val="00A01502"/>
    <w:rsid w:val="00A048CD"/>
    <w:rsid w:val="00A05405"/>
    <w:rsid w:val="00A17146"/>
    <w:rsid w:val="00A22857"/>
    <w:rsid w:val="00A22ADE"/>
    <w:rsid w:val="00A25C90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13304"/>
    <w:rsid w:val="00B16DA3"/>
    <w:rsid w:val="00B20125"/>
    <w:rsid w:val="00B2181B"/>
    <w:rsid w:val="00B26D71"/>
    <w:rsid w:val="00B32866"/>
    <w:rsid w:val="00B35160"/>
    <w:rsid w:val="00B372A5"/>
    <w:rsid w:val="00B4268A"/>
    <w:rsid w:val="00B43266"/>
    <w:rsid w:val="00B433D1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BF4BAD"/>
    <w:rsid w:val="00C00B83"/>
    <w:rsid w:val="00C00D4F"/>
    <w:rsid w:val="00C041CA"/>
    <w:rsid w:val="00C21F21"/>
    <w:rsid w:val="00C26425"/>
    <w:rsid w:val="00C31381"/>
    <w:rsid w:val="00C55324"/>
    <w:rsid w:val="00C63F49"/>
    <w:rsid w:val="00C70E34"/>
    <w:rsid w:val="00C717A8"/>
    <w:rsid w:val="00C77C2F"/>
    <w:rsid w:val="00C8064D"/>
    <w:rsid w:val="00C835E8"/>
    <w:rsid w:val="00C847E0"/>
    <w:rsid w:val="00C87068"/>
    <w:rsid w:val="00C93114"/>
    <w:rsid w:val="00C94EA8"/>
    <w:rsid w:val="00CA03D7"/>
    <w:rsid w:val="00CA11E0"/>
    <w:rsid w:val="00CA2760"/>
    <w:rsid w:val="00CA31CF"/>
    <w:rsid w:val="00CA3283"/>
    <w:rsid w:val="00CA401E"/>
    <w:rsid w:val="00CA7765"/>
    <w:rsid w:val="00CB64E6"/>
    <w:rsid w:val="00CD0832"/>
    <w:rsid w:val="00CD0C89"/>
    <w:rsid w:val="00CD4305"/>
    <w:rsid w:val="00CE146C"/>
    <w:rsid w:val="00D009EE"/>
    <w:rsid w:val="00D204E4"/>
    <w:rsid w:val="00D20543"/>
    <w:rsid w:val="00D25779"/>
    <w:rsid w:val="00D30E3A"/>
    <w:rsid w:val="00D333C2"/>
    <w:rsid w:val="00D334AC"/>
    <w:rsid w:val="00D34801"/>
    <w:rsid w:val="00D36549"/>
    <w:rsid w:val="00D6492F"/>
    <w:rsid w:val="00D706F5"/>
    <w:rsid w:val="00D70988"/>
    <w:rsid w:val="00D74931"/>
    <w:rsid w:val="00D76466"/>
    <w:rsid w:val="00D9147A"/>
    <w:rsid w:val="00DB0196"/>
    <w:rsid w:val="00DB66EC"/>
    <w:rsid w:val="00DC19E0"/>
    <w:rsid w:val="00DC46F1"/>
    <w:rsid w:val="00DD11A1"/>
    <w:rsid w:val="00DD582D"/>
    <w:rsid w:val="00DE29AF"/>
    <w:rsid w:val="00DF6003"/>
    <w:rsid w:val="00E050B4"/>
    <w:rsid w:val="00E06091"/>
    <w:rsid w:val="00E1258D"/>
    <w:rsid w:val="00E139A2"/>
    <w:rsid w:val="00E20C03"/>
    <w:rsid w:val="00E37630"/>
    <w:rsid w:val="00E46B65"/>
    <w:rsid w:val="00E46C3D"/>
    <w:rsid w:val="00E51991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B5311"/>
    <w:rsid w:val="00EC251C"/>
    <w:rsid w:val="00EC3E05"/>
    <w:rsid w:val="00ED028F"/>
    <w:rsid w:val="00ED0370"/>
    <w:rsid w:val="00ED2CA4"/>
    <w:rsid w:val="00ED6DB3"/>
    <w:rsid w:val="00ED7719"/>
    <w:rsid w:val="00EE0E08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4F7E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10</Pages>
  <Words>733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Greil Daniel Michael</cp:lastModifiedBy>
  <cp:revision>261</cp:revision>
  <cp:lastPrinted>2009-09-07T09:22:00Z</cp:lastPrinted>
  <dcterms:created xsi:type="dcterms:W3CDTF">2013-05-16T18:59:00Z</dcterms:created>
  <dcterms:modified xsi:type="dcterms:W3CDTF">2021-10-05T09:44:00Z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