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drawing>
          <wp:inline xmlns:a="http://schemas.openxmlformats.org/drawingml/2006/main" xmlns:pic="http://schemas.openxmlformats.org/drawingml/2006/picture">
            <wp:extent cx="2011680" cy="700698"/>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700698"/>
                    </a:xfrm>
                    <a:prstGeom prst="rect"/>
                  </pic:spPr>
                </pic:pic>
              </a:graphicData>
            </a:graphic>
          </wp:inline>
        </w:drawing>
      </w:r>
    </w:p>
    <w:p>
      <w:pPr>
        <w:spacing w:before="600"/>
        <w:jc w:val="center"/>
      </w:pPr>
      <w:r>
        <w:rPr>
          <w:b/>
          <w:color w:val="1E3A8A"/>
          <w:sz w:val="56"/>
        </w:rPr>
        <w:t>PERFECT SOLUTIONS</w:t>
      </w:r>
    </w:p>
    <w:p>
      <w:pPr>
        <w:jc w:val="center"/>
      </w:pPr>
      <w:r>
        <w:rPr>
          <w:i/>
          <w:color w:val="3B82F6"/>
          <w:sz w:val="26"/>
        </w:rPr>
        <w:t>Unleashing IT Talent</w:t>
      </w:r>
    </w:p>
    <w:p>
      <w:pPr>
        <w:spacing w:before="1200"/>
        <w:jc w:val="center"/>
      </w:pPr>
      <w:r>
        <w:rPr>
          <w:b/>
          <w:color w:val="0F172A"/>
          <w:sz w:val="72"/>
        </w:rPr>
        <w:t>Business Requirements</w:t>
        <w:br/>
        <w:t>Document (BRD)</w:t>
      </w:r>
    </w:p>
    <w:p>
      <w:pPr>
        <w:jc w:val="center"/>
      </w:pPr>
      <w:r>
        <w:rPr>
          <w:color w:val="64748B"/>
          <w:sz w:val="32"/>
        </w:rPr>
        <w:t>AurborBloom HRMS Implementation</w:t>
      </w:r>
    </w:p>
    <w:p>
      <w:pPr>
        <w:spacing w:before="1200"/>
      </w:pPr>
    </w:p>
    <w:tbl>
      <w:tblPr>
        <w:tblW w:type="auto" w:w="0"/>
        <w:jc w:val="center"/>
        <w:tblLook w:firstColumn="1" w:firstRow="1" w:lastColumn="0" w:lastRow="0" w:noHBand="0" w:noVBand="1" w:val="04A0"/>
      </w:tblPr>
      <w:tblGrid>
        <w:gridCol w:w="4320"/>
        <w:gridCol w:w="4320"/>
      </w:tblGrid>
      <w:tr>
        <w:tc>
          <w:tcPr>
            <w:tcW w:type="dxa" w:w="4320"/>
            <w:shd w:val="clear" w:color="auto" w:fill="1E3A8A"/>
          </w:tcPr>
          <w:p>
            <w:r/>
            <w:r>
              <w:rPr>
                <w:b/>
                <w:color w:val="FFFFFF"/>
                <w:sz w:val="22"/>
              </w:rPr>
              <w:t>Document Code</w:t>
            </w:r>
          </w:p>
        </w:tc>
        <w:tc>
          <w:tcPr>
            <w:tcW w:type="dxa" w:w="4320"/>
            <w:shd w:val="clear" w:color="auto" w:fill="F8FAFC"/>
          </w:tcPr>
          <w:p>
            <w:r/>
            <w:r>
              <w:rPr>
                <w:color w:val="0F172A"/>
                <w:sz w:val="22"/>
              </w:rPr>
              <w:t>PS-BRD-2026-001</w:t>
            </w:r>
          </w:p>
        </w:tc>
      </w:tr>
      <w:tr>
        <w:tc>
          <w:tcPr>
            <w:tcW w:type="dxa" w:w="4320"/>
            <w:shd w:val="clear" w:color="auto" w:fill="1E3A8A"/>
          </w:tcPr>
          <w:p>
            <w:r/>
            <w:r>
              <w:rPr>
                <w:b/>
                <w:color w:val="FFFFFF"/>
                <w:sz w:val="22"/>
              </w:rPr>
              <w:t>Version</w:t>
            </w:r>
          </w:p>
        </w:tc>
        <w:tc>
          <w:tcPr>
            <w:tcW w:type="dxa" w:w="4320"/>
            <w:shd w:val="clear" w:color="auto" w:fill="F8FAFC"/>
          </w:tcPr>
          <w:p>
            <w:r/>
            <w:r>
              <w:rPr>
                <w:color w:val="0F172A"/>
                <w:sz w:val="22"/>
              </w:rPr>
              <w:t>1.0</w:t>
            </w:r>
          </w:p>
        </w:tc>
      </w:tr>
      <w:tr>
        <w:tc>
          <w:tcPr>
            <w:tcW w:type="dxa" w:w="4320"/>
            <w:shd w:val="clear" w:color="auto" w:fill="1E3A8A"/>
          </w:tcPr>
          <w:p>
            <w:r/>
            <w:r>
              <w:rPr>
                <w:b/>
                <w:color w:val="FFFFFF"/>
                <w:sz w:val="22"/>
              </w:rPr>
              <w:t>Date</w:t>
            </w:r>
          </w:p>
        </w:tc>
        <w:tc>
          <w:tcPr>
            <w:tcW w:type="dxa" w:w="4320"/>
            <w:shd w:val="clear" w:color="auto" w:fill="F8FAFC"/>
          </w:tcPr>
          <w:p>
            <w:r/>
            <w:r>
              <w:rPr>
                <w:color w:val="0F172A"/>
                <w:sz w:val="22"/>
              </w:rPr>
              <w:t>May 11, 2026</w:t>
            </w:r>
          </w:p>
        </w:tc>
      </w:tr>
      <w:tr>
        <w:tc>
          <w:tcPr>
            <w:tcW w:type="dxa" w:w="4320"/>
            <w:shd w:val="clear" w:color="auto" w:fill="1E3A8A"/>
          </w:tcPr>
          <w:p>
            <w:r/>
            <w:r>
              <w:rPr>
                <w:b/>
                <w:color w:val="FFFFFF"/>
                <w:sz w:val="22"/>
              </w:rPr>
              <w:t>Classification</w:t>
            </w:r>
          </w:p>
        </w:tc>
        <w:tc>
          <w:tcPr>
            <w:tcW w:type="dxa" w:w="4320"/>
            <w:shd w:val="clear" w:color="auto" w:fill="F8FAFC"/>
          </w:tcPr>
          <w:p>
            <w:r/>
            <w:r>
              <w:rPr>
                <w:color w:val="0F172A"/>
                <w:sz w:val="22"/>
              </w:rPr>
              <w:t>Confidential — Internal Use</w:t>
            </w:r>
          </w:p>
        </w:tc>
      </w:tr>
      <w:tr>
        <w:tc>
          <w:tcPr>
            <w:tcW w:type="dxa" w:w="4320"/>
            <w:shd w:val="clear" w:color="auto" w:fill="1E3A8A"/>
          </w:tcPr>
          <w:p>
            <w:r/>
            <w:r>
              <w:rPr>
                <w:b/>
                <w:color w:val="FFFFFF"/>
                <w:sz w:val="22"/>
              </w:rPr>
              <w:t>Prepared By</w:t>
            </w:r>
          </w:p>
        </w:tc>
        <w:tc>
          <w:tcPr>
            <w:tcW w:type="dxa" w:w="4320"/>
            <w:shd w:val="clear" w:color="auto" w:fill="F8FAFC"/>
          </w:tcPr>
          <w:p>
            <w:r/>
            <w:r>
              <w:rPr>
                <w:color w:val="0F172A"/>
                <w:sz w:val="22"/>
              </w:rPr>
              <w:t>AurborBloom Product &amp; Implementation Team</w:t>
            </w:r>
          </w:p>
        </w:tc>
      </w:tr>
    </w:tbl>
    <w:p>
      <w:r>
        <w:br w:type="page"/>
      </w:r>
    </w:p>
    <w:p>
      <w:pPr>
        <w:spacing w:before="280" w:after="120"/>
        <w:pBdr>
          <w:bottom w:val="single" w:sz="8" w:color="1E3A8A"/>
        </w:pBdr>
      </w:pPr>
      <w:r>
        <w:rPr>
          <w:rFonts w:ascii="Calibri" w:hAnsi="Calibri"/>
          <w:b/>
          <w:color w:val="1E3A8A"/>
          <w:sz w:val="36"/>
        </w:rPr>
        <w:t>1. Document Control</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008"/>
            <w:shd w:val="clear" w:color="auto" w:fill="1E3A8A"/>
            <w:vAlign w:val="center"/>
          </w:tcPr>
          <w:p>
            <w:r/>
            <w:r>
              <w:rPr>
                <w:rFonts w:ascii="Calibri" w:hAnsi="Calibri"/>
                <w:b/>
                <w:color w:val="FFFFFF"/>
                <w:sz w:val="21"/>
              </w:rPr>
              <w:t>Version</w:t>
            </w:r>
          </w:p>
        </w:tc>
        <w:tc>
          <w:tcPr>
            <w:tcW w:type="dxa" w:w="1584"/>
            <w:shd w:val="clear" w:color="auto" w:fill="1E3A8A"/>
            <w:vAlign w:val="center"/>
          </w:tcPr>
          <w:p>
            <w:r/>
            <w:r>
              <w:rPr>
                <w:rFonts w:ascii="Calibri" w:hAnsi="Calibri"/>
                <w:b/>
                <w:color w:val="FFFFFF"/>
                <w:sz w:val="21"/>
              </w:rPr>
              <w:t>Date</w:t>
            </w:r>
          </w:p>
        </w:tc>
        <w:tc>
          <w:tcPr>
            <w:tcW w:type="dxa" w:w="2160"/>
            <w:shd w:val="clear" w:color="auto" w:fill="1E3A8A"/>
            <w:vAlign w:val="center"/>
          </w:tcPr>
          <w:p>
            <w:r/>
            <w:r>
              <w:rPr>
                <w:rFonts w:ascii="Calibri" w:hAnsi="Calibri"/>
                <w:b/>
                <w:color w:val="FFFFFF"/>
                <w:sz w:val="21"/>
              </w:rPr>
              <w:t>Author</w:t>
            </w:r>
          </w:p>
        </w:tc>
        <w:tc>
          <w:tcPr>
            <w:tcW w:type="dxa" w:w="2160"/>
            <w:shd w:val="clear" w:color="auto" w:fill="1E3A8A"/>
            <w:vAlign w:val="center"/>
          </w:tcPr>
          <w:p>
            <w:r/>
            <w:r>
              <w:rPr>
                <w:rFonts w:ascii="Calibri" w:hAnsi="Calibri"/>
                <w:b/>
                <w:color w:val="FFFFFF"/>
                <w:sz w:val="21"/>
              </w:rPr>
              <w:t>Reviewer</w:t>
            </w:r>
          </w:p>
        </w:tc>
        <w:tc>
          <w:tcPr>
            <w:tcW w:type="dxa" w:w="2448"/>
            <w:shd w:val="clear" w:color="auto" w:fill="1E3A8A"/>
            <w:vAlign w:val="center"/>
          </w:tcPr>
          <w:p>
            <w:r/>
            <w:r>
              <w:rPr>
                <w:rFonts w:ascii="Calibri" w:hAnsi="Calibri"/>
                <w:b/>
                <w:color w:val="FFFFFF"/>
                <w:sz w:val="21"/>
              </w:rPr>
              <w:t>Description of Change</w:t>
            </w:r>
          </w:p>
        </w:tc>
      </w:tr>
      <w:tr>
        <w:tc>
          <w:tcPr>
            <w:tcW w:type="dxa" w:w="1008"/>
            <w:vAlign w:val="center"/>
            <w:shd w:val="clear" w:color="auto" w:fill="F1F5F9"/>
          </w:tcPr>
          <w:p>
            <w:r/>
            <w:r>
              <w:rPr>
                <w:rFonts w:ascii="Calibri" w:hAnsi="Calibri"/>
                <w:color w:val="0F172A"/>
                <w:sz w:val="20"/>
              </w:rPr>
              <w:t>0.1</w:t>
            </w:r>
          </w:p>
        </w:tc>
        <w:tc>
          <w:tcPr>
            <w:tcW w:type="dxa" w:w="1584"/>
            <w:vAlign w:val="center"/>
            <w:shd w:val="clear" w:color="auto" w:fill="F1F5F9"/>
          </w:tcPr>
          <w:p>
            <w:r/>
            <w:r>
              <w:rPr>
                <w:rFonts w:ascii="Calibri" w:hAnsi="Calibri"/>
                <w:color w:val="0F172A"/>
                <w:sz w:val="20"/>
              </w:rPr>
              <w:t>2026-01-15</w:t>
            </w:r>
          </w:p>
        </w:tc>
        <w:tc>
          <w:tcPr>
            <w:tcW w:type="dxa" w:w="2160"/>
            <w:vAlign w:val="center"/>
            <w:shd w:val="clear" w:color="auto" w:fill="F1F5F9"/>
          </w:tcPr>
          <w:p>
            <w:r/>
            <w:r>
              <w:rPr>
                <w:rFonts w:ascii="Calibri" w:hAnsi="Calibri"/>
                <w:color w:val="0F172A"/>
                <w:sz w:val="20"/>
              </w:rPr>
              <w:t>AurborBloom PM</w:t>
            </w:r>
          </w:p>
        </w:tc>
        <w:tc>
          <w:tcPr>
            <w:tcW w:type="dxa" w:w="2160"/>
            <w:vAlign w:val="center"/>
            <w:shd w:val="clear" w:color="auto" w:fill="F1F5F9"/>
          </w:tcPr>
          <w:p>
            <w:r/>
            <w:r>
              <w:rPr>
                <w:rFonts w:ascii="Calibri" w:hAnsi="Calibri"/>
                <w:color w:val="0F172A"/>
                <w:sz w:val="20"/>
              </w:rPr>
              <w:t>Perfect Solutions HR</w:t>
            </w:r>
          </w:p>
        </w:tc>
        <w:tc>
          <w:tcPr>
            <w:tcW w:type="dxa" w:w="2448"/>
            <w:vAlign w:val="center"/>
            <w:shd w:val="clear" w:color="auto" w:fill="F1F5F9"/>
          </w:tcPr>
          <w:p>
            <w:r/>
            <w:r>
              <w:rPr>
                <w:rFonts w:ascii="Calibri" w:hAnsi="Calibri"/>
                <w:color w:val="0F172A"/>
                <w:sz w:val="20"/>
              </w:rPr>
              <w:t>Initial draft</w:t>
            </w:r>
          </w:p>
        </w:tc>
      </w:tr>
      <w:tr>
        <w:tc>
          <w:tcPr>
            <w:tcW w:type="dxa" w:w="1008"/>
            <w:vAlign w:val="center"/>
          </w:tcPr>
          <w:p>
            <w:r/>
            <w:r>
              <w:rPr>
                <w:rFonts w:ascii="Calibri" w:hAnsi="Calibri"/>
                <w:color w:val="0F172A"/>
                <w:sz w:val="20"/>
              </w:rPr>
              <w:t>0.5</w:t>
            </w:r>
          </w:p>
        </w:tc>
        <w:tc>
          <w:tcPr>
            <w:tcW w:type="dxa" w:w="1584"/>
            <w:vAlign w:val="center"/>
          </w:tcPr>
          <w:p>
            <w:r/>
            <w:r>
              <w:rPr>
                <w:rFonts w:ascii="Calibri" w:hAnsi="Calibri"/>
                <w:color w:val="0F172A"/>
                <w:sz w:val="20"/>
              </w:rPr>
              <w:t>2026-01-22</w:t>
            </w:r>
          </w:p>
        </w:tc>
        <w:tc>
          <w:tcPr>
            <w:tcW w:type="dxa" w:w="2160"/>
            <w:vAlign w:val="center"/>
          </w:tcPr>
          <w:p>
            <w:r/>
            <w:r>
              <w:rPr>
                <w:rFonts w:ascii="Calibri" w:hAnsi="Calibri"/>
                <w:color w:val="0F172A"/>
                <w:sz w:val="20"/>
              </w:rPr>
              <w:t>Implementation Lead</w:t>
            </w:r>
          </w:p>
        </w:tc>
        <w:tc>
          <w:tcPr>
            <w:tcW w:type="dxa" w:w="2160"/>
            <w:vAlign w:val="center"/>
          </w:tcPr>
          <w:p>
            <w:r/>
            <w:r>
              <w:rPr>
                <w:rFonts w:ascii="Calibri" w:hAnsi="Calibri"/>
                <w:color w:val="0F172A"/>
                <w:sz w:val="20"/>
              </w:rPr>
              <w:t>PS IT Director</w:t>
            </w:r>
          </w:p>
        </w:tc>
        <w:tc>
          <w:tcPr>
            <w:tcW w:type="dxa" w:w="2448"/>
            <w:vAlign w:val="center"/>
          </w:tcPr>
          <w:p>
            <w:r/>
            <w:r>
              <w:rPr>
                <w:rFonts w:ascii="Calibri" w:hAnsi="Calibri"/>
                <w:color w:val="0F172A"/>
                <w:sz w:val="20"/>
              </w:rPr>
              <w:t>Internal review</w:t>
            </w:r>
          </w:p>
        </w:tc>
      </w:tr>
      <w:tr>
        <w:tc>
          <w:tcPr>
            <w:tcW w:type="dxa" w:w="1008"/>
            <w:vAlign w:val="center"/>
            <w:shd w:val="clear" w:color="auto" w:fill="F1F5F9"/>
          </w:tcPr>
          <w:p>
            <w:r/>
            <w:r>
              <w:rPr>
                <w:rFonts w:ascii="Calibri" w:hAnsi="Calibri"/>
                <w:color w:val="0F172A"/>
                <w:sz w:val="20"/>
              </w:rPr>
              <w:t>1.0</w:t>
            </w:r>
          </w:p>
        </w:tc>
        <w:tc>
          <w:tcPr>
            <w:tcW w:type="dxa" w:w="1584"/>
            <w:vAlign w:val="center"/>
            <w:shd w:val="clear" w:color="auto" w:fill="F1F5F9"/>
          </w:tcPr>
          <w:p>
            <w:r/>
            <w:r>
              <w:rPr>
                <w:rFonts w:ascii="Calibri" w:hAnsi="Calibri"/>
                <w:color w:val="0F172A"/>
                <w:sz w:val="20"/>
              </w:rPr>
              <w:t>2026-05-11</w:t>
            </w:r>
          </w:p>
        </w:tc>
        <w:tc>
          <w:tcPr>
            <w:tcW w:type="dxa" w:w="2160"/>
            <w:vAlign w:val="center"/>
            <w:shd w:val="clear" w:color="auto" w:fill="F1F5F9"/>
          </w:tcPr>
          <w:p>
            <w:r/>
            <w:r>
              <w:rPr>
                <w:rFonts w:ascii="Calibri" w:hAnsi="Calibri"/>
                <w:color w:val="0F172A"/>
                <w:sz w:val="20"/>
              </w:rPr>
              <w:t>AurborBloom PM</w:t>
            </w:r>
          </w:p>
        </w:tc>
        <w:tc>
          <w:tcPr>
            <w:tcW w:type="dxa" w:w="2160"/>
            <w:vAlign w:val="center"/>
            <w:shd w:val="clear" w:color="auto" w:fill="F1F5F9"/>
          </w:tcPr>
          <w:p>
            <w:r/>
            <w:r>
              <w:rPr>
                <w:rFonts w:ascii="Calibri" w:hAnsi="Calibri"/>
                <w:color w:val="0F172A"/>
                <w:sz w:val="20"/>
              </w:rPr>
              <w:t>PS Steering Committee</w:t>
            </w:r>
          </w:p>
        </w:tc>
        <w:tc>
          <w:tcPr>
            <w:tcW w:type="dxa" w:w="2448"/>
            <w:vAlign w:val="center"/>
            <w:shd w:val="clear" w:color="auto" w:fill="F1F5F9"/>
          </w:tcPr>
          <w:p>
            <w:r/>
            <w:r>
              <w:rPr>
                <w:rFonts w:ascii="Calibri" w:hAnsi="Calibri"/>
                <w:color w:val="0F172A"/>
                <w:sz w:val="20"/>
              </w:rPr>
              <w:t>Approved baseline</w:t>
            </w:r>
          </w:p>
        </w:tc>
      </w:tr>
    </w:tbl>
    <w:p>
      <w:pPr>
        <w:spacing w:after="80"/>
      </w:pPr>
      <w:r>
        <w:rPr>
          <w:rFonts w:ascii="Calibri" w:hAnsi="Calibri"/>
          <w:b w:val="0"/>
          <w:i w:val="0"/>
          <w:color w:val="0F172A"/>
          <w:sz w:val="22"/>
        </w:rPr>
      </w:r>
    </w:p>
    <w:p>
      <w:pPr>
        <w:spacing w:before="160" w:after="120"/>
      </w:pPr>
      <w:r>
        <w:rPr>
          <w:rFonts w:ascii="Calibri" w:hAnsi="Calibri"/>
          <w:b/>
          <w:color w:val="1E3A8A"/>
          <w:sz w:val="32"/>
        </w:rPr>
        <w:t>1.1 Distribution List</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168"/>
            <w:shd w:val="clear" w:color="auto" w:fill="1E3A8A"/>
            <w:vAlign w:val="center"/>
          </w:tcPr>
          <w:p>
            <w:r/>
            <w:r>
              <w:rPr>
                <w:rFonts w:ascii="Calibri" w:hAnsi="Calibri"/>
                <w:b/>
                <w:color w:val="FFFFFF"/>
                <w:sz w:val="21"/>
              </w:rPr>
              <w:t>Name / Role</w:t>
            </w:r>
          </w:p>
        </w:tc>
        <w:tc>
          <w:tcPr>
            <w:tcW w:type="dxa" w:w="2880"/>
            <w:shd w:val="clear" w:color="auto" w:fill="1E3A8A"/>
            <w:vAlign w:val="center"/>
          </w:tcPr>
          <w:p>
            <w:r/>
            <w:r>
              <w:rPr>
                <w:rFonts w:ascii="Calibri" w:hAnsi="Calibri"/>
                <w:b/>
                <w:color w:val="FFFFFF"/>
                <w:sz w:val="21"/>
              </w:rPr>
              <w:t>Organization</w:t>
            </w:r>
          </w:p>
        </w:tc>
        <w:tc>
          <w:tcPr>
            <w:tcW w:type="dxa" w:w="2880"/>
            <w:shd w:val="clear" w:color="auto" w:fill="1E3A8A"/>
            <w:vAlign w:val="center"/>
          </w:tcPr>
          <w:p>
            <w:r/>
            <w:r>
              <w:rPr>
                <w:rFonts w:ascii="Calibri" w:hAnsi="Calibri"/>
                <w:b/>
                <w:color w:val="FFFFFF"/>
                <w:sz w:val="21"/>
              </w:rPr>
              <w:t>Purpose</w:t>
            </w:r>
          </w:p>
        </w:tc>
      </w:tr>
      <w:tr>
        <w:tc>
          <w:tcPr>
            <w:tcW w:type="dxa" w:w="3168"/>
            <w:vAlign w:val="center"/>
            <w:shd w:val="clear" w:color="auto" w:fill="F1F5F9"/>
          </w:tcPr>
          <w:p>
            <w:r/>
            <w:r>
              <w:rPr>
                <w:rFonts w:ascii="Calibri" w:hAnsi="Calibri"/>
                <w:color w:val="0F172A"/>
                <w:sz w:val="20"/>
              </w:rPr>
              <w:t>Director, IT Services</w:t>
            </w:r>
          </w:p>
        </w:tc>
        <w:tc>
          <w:tcPr>
            <w:tcW w:type="dxa" w:w="2880"/>
            <w:vAlign w:val="center"/>
            <w:shd w:val="clear" w:color="auto" w:fill="F1F5F9"/>
          </w:tcPr>
          <w:p>
            <w:r/>
            <w:r>
              <w:rPr>
                <w:rFonts w:ascii="Calibri" w:hAnsi="Calibri"/>
                <w:color w:val="0F172A"/>
                <w:sz w:val="20"/>
              </w:rPr>
              <w:t>Perfect Solutions</w:t>
            </w:r>
          </w:p>
        </w:tc>
        <w:tc>
          <w:tcPr>
            <w:tcW w:type="dxa" w:w="2880"/>
            <w:vAlign w:val="center"/>
            <w:shd w:val="clear" w:color="auto" w:fill="F1F5F9"/>
          </w:tcPr>
          <w:p>
            <w:r/>
            <w:r>
              <w:rPr>
                <w:rFonts w:ascii="Calibri" w:hAnsi="Calibri"/>
                <w:color w:val="0F172A"/>
                <w:sz w:val="20"/>
              </w:rPr>
              <w:t>Approver</w:t>
            </w:r>
          </w:p>
        </w:tc>
      </w:tr>
      <w:tr>
        <w:tc>
          <w:tcPr>
            <w:tcW w:type="dxa" w:w="3168"/>
            <w:vAlign w:val="center"/>
          </w:tcPr>
          <w:p>
            <w:r/>
            <w:r>
              <w:rPr>
                <w:rFonts w:ascii="Calibri" w:hAnsi="Calibri"/>
                <w:color w:val="0F172A"/>
                <w:sz w:val="20"/>
              </w:rPr>
              <w:t>Head of Human Resources</w:t>
            </w:r>
          </w:p>
        </w:tc>
        <w:tc>
          <w:tcPr>
            <w:tcW w:type="dxa" w:w="2880"/>
            <w:vAlign w:val="center"/>
          </w:tcPr>
          <w:p>
            <w:r/>
            <w:r>
              <w:rPr>
                <w:rFonts w:ascii="Calibri" w:hAnsi="Calibri"/>
                <w:color w:val="0F172A"/>
                <w:sz w:val="20"/>
              </w:rPr>
              <w:t>Perfect Solutions</w:t>
            </w:r>
          </w:p>
        </w:tc>
        <w:tc>
          <w:tcPr>
            <w:tcW w:type="dxa" w:w="2880"/>
            <w:vAlign w:val="center"/>
          </w:tcPr>
          <w:p>
            <w:r/>
            <w:r>
              <w:rPr>
                <w:rFonts w:ascii="Calibri" w:hAnsi="Calibri"/>
                <w:color w:val="0F172A"/>
                <w:sz w:val="20"/>
              </w:rPr>
              <w:t>Approver</w:t>
            </w:r>
          </w:p>
        </w:tc>
      </w:tr>
      <w:tr>
        <w:tc>
          <w:tcPr>
            <w:tcW w:type="dxa" w:w="3168"/>
            <w:vAlign w:val="center"/>
            <w:shd w:val="clear" w:color="auto" w:fill="F1F5F9"/>
          </w:tcPr>
          <w:p>
            <w:r/>
            <w:r>
              <w:rPr>
                <w:rFonts w:ascii="Calibri" w:hAnsi="Calibri"/>
                <w:color w:val="0F172A"/>
                <w:sz w:val="20"/>
              </w:rPr>
              <w:t>Chief Financial Officer</w:t>
            </w:r>
          </w:p>
        </w:tc>
        <w:tc>
          <w:tcPr>
            <w:tcW w:type="dxa" w:w="2880"/>
            <w:vAlign w:val="center"/>
            <w:shd w:val="clear" w:color="auto" w:fill="F1F5F9"/>
          </w:tcPr>
          <w:p>
            <w:r/>
            <w:r>
              <w:rPr>
                <w:rFonts w:ascii="Calibri" w:hAnsi="Calibri"/>
                <w:color w:val="0F172A"/>
                <w:sz w:val="20"/>
              </w:rPr>
              <w:t>Perfect Solutions</w:t>
            </w:r>
          </w:p>
        </w:tc>
        <w:tc>
          <w:tcPr>
            <w:tcW w:type="dxa" w:w="2880"/>
            <w:vAlign w:val="center"/>
            <w:shd w:val="clear" w:color="auto" w:fill="F1F5F9"/>
          </w:tcPr>
          <w:p>
            <w:r/>
            <w:r>
              <w:rPr>
                <w:rFonts w:ascii="Calibri" w:hAnsi="Calibri"/>
                <w:color w:val="0F172A"/>
                <w:sz w:val="20"/>
              </w:rPr>
              <w:t>Reviewer</w:t>
            </w:r>
          </w:p>
        </w:tc>
      </w:tr>
      <w:tr>
        <w:tc>
          <w:tcPr>
            <w:tcW w:type="dxa" w:w="3168"/>
            <w:vAlign w:val="center"/>
          </w:tcPr>
          <w:p>
            <w:r/>
            <w:r>
              <w:rPr>
                <w:rFonts w:ascii="Calibri" w:hAnsi="Calibri"/>
                <w:color w:val="0F172A"/>
                <w:sz w:val="20"/>
              </w:rPr>
              <w:t>Engineering Manager</w:t>
            </w:r>
          </w:p>
        </w:tc>
        <w:tc>
          <w:tcPr>
            <w:tcW w:type="dxa" w:w="2880"/>
            <w:vAlign w:val="center"/>
          </w:tcPr>
          <w:p>
            <w:r/>
            <w:r>
              <w:rPr>
                <w:rFonts w:ascii="Calibri" w:hAnsi="Calibri"/>
                <w:color w:val="0F172A"/>
                <w:sz w:val="20"/>
              </w:rPr>
              <w:t>Perfect Solutions</w:t>
            </w:r>
          </w:p>
        </w:tc>
        <w:tc>
          <w:tcPr>
            <w:tcW w:type="dxa" w:w="2880"/>
            <w:vAlign w:val="center"/>
          </w:tcPr>
          <w:p>
            <w:r/>
            <w:r>
              <w:rPr>
                <w:rFonts w:ascii="Calibri" w:hAnsi="Calibri"/>
                <w:color w:val="0F172A"/>
                <w:sz w:val="20"/>
              </w:rPr>
              <w:t>Reviewer</w:t>
            </w:r>
          </w:p>
        </w:tc>
      </w:tr>
      <w:tr>
        <w:tc>
          <w:tcPr>
            <w:tcW w:type="dxa" w:w="3168"/>
            <w:vAlign w:val="center"/>
            <w:shd w:val="clear" w:color="auto" w:fill="F1F5F9"/>
          </w:tcPr>
          <w:p>
            <w:r/>
            <w:r>
              <w:rPr>
                <w:rFonts w:ascii="Calibri" w:hAnsi="Calibri"/>
                <w:color w:val="0F172A"/>
                <w:sz w:val="20"/>
              </w:rPr>
              <w:t>Implementation Lead</w:t>
            </w:r>
          </w:p>
        </w:tc>
        <w:tc>
          <w:tcPr>
            <w:tcW w:type="dxa" w:w="2880"/>
            <w:vAlign w:val="center"/>
            <w:shd w:val="clear" w:color="auto" w:fill="F1F5F9"/>
          </w:tcPr>
          <w:p>
            <w:r/>
            <w:r>
              <w:rPr>
                <w:rFonts w:ascii="Calibri" w:hAnsi="Calibri"/>
                <w:color w:val="0F172A"/>
                <w:sz w:val="20"/>
              </w:rPr>
              <w:t>AurborBloom</w:t>
            </w:r>
          </w:p>
        </w:tc>
        <w:tc>
          <w:tcPr>
            <w:tcW w:type="dxa" w:w="2880"/>
            <w:vAlign w:val="center"/>
            <w:shd w:val="clear" w:color="auto" w:fill="F1F5F9"/>
          </w:tcPr>
          <w:p>
            <w:r/>
            <w:r>
              <w:rPr>
                <w:rFonts w:ascii="Calibri" w:hAnsi="Calibri"/>
                <w:color w:val="0F172A"/>
                <w:sz w:val="20"/>
              </w:rPr>
              <w:t>Owner</w:t>
            </w:r>
          </w:p>
        </w:tc>
      </w:tr>
      <w:tr>
        <w:tc>
          <w:tcPr>
            <w:tcW w:type="dxa" w:w="3168"/>
            <w:vAlign w:val="center"/>
          </w:tcPr>
          <w:p>
            <w:r/>
            <w:r>
              <w:rPr>
                <w:rFonts w:ascii="Calibri" w:hAnsi="Calibri"/>
                <w:color w:val="0F172A"/>
                <w:sz w:val="20"/>
              </w:rPr>
              <w:t>Product Manager</w:t>
            </w:r>
          </w:p>
        </w:tc>
        <w:tc>
          <w:tcPr>
            <w:tcW w:type="dxa" w:w="2880"/>
            <w:vAlign w:val="center"/>
          </w:tcPr>
          <w:p>
            <w:r/>
            <w:r>
              <w:rPr>
                <w:rFonts w:ascii="Calibri" w:hAnsi="Calibri"/>
                <w:color w:val="0F172A"/>
                <w:sz w:val="20"/>
              </w:rPr>
              <w:t>AurborBloom</w:t>
            </w:r>
          </w:p>
        </w:tc>
        <w:tc>
          <w:tcPr>
            <w:tcW w:type="dxa" w:w="2880"/>
            <w:vAlign w:val="center"/>
          </w:tcPr>
          <w:p>
            <w:r/>
            <w:r>
              <w:rPr>
                <w:rFonts w:ascii="Calibri" w:hAnsi="Calibri"/>
                <w:color w:val="0F172A"/>
                <w:sz w:val="20"/>
              </w:rPr>
              <w:t>Author</w:t>
            </w:r>
          </w:p>
        </w:tc>
      </w:tr>
    </w:tbl>
    <w:p>
      <w:r>
        <w:br w:type="page"/>
      </w:r>
    </w:p>
    <w:p>
      <w:pPr>
        <w:spacing w:before="280" w:after="120"/>
        <w:pBdr>
          <w:bottom w:val="single" w:sz="8" w:color="1E3A8A"/>
        </w:pBdr>
      </w:pPr>
      <w:r>
        <w:rPr>
          <w:rFonts w:ascii="Calibri" w:hAnsi="Calibri"/>
          <w:b/>
          <w:color w:val="1E3A8A"/>
          <w:sz w:val="36"/>
        </w:rPr>
        <w:t>2. Executive Summary</w:t>
      </w:r>
    </w:p>
    <w:p>
      <w:pPr>
        <w:spacing w:after="80"/>
      </w:pPr>
      <w:r>
        <w:rPr>
          <w:rFonts w:ascii="Calibri" w:hAnsi="Calibri"/>
          <w:b w:val="0"/>
          <w:i w:val="0"/>
          <w:color w:val="0F172A"/>
          <w:sz w:val="22"/>
        </w:rPr>
        <w:t>Perfect Solutions is a mid-sized IT Services and Software Development firm headquartered in the United States, operating with a workforce of approximately 51–250 employees distributed across engineering, sales, marketing, finance, human resources, and general operations. As the company scales its delivery footprint and onboards increasingly distributed talent, it has identified the need to consolidate its people-operations stack onto a single, multi-tenant SaaS platform — AurborBloom HRMS.</w:t>
      </w:r>
    </w:p>
    <w:p>
      <w:pPr>
        <w:spacing w:after="80"/>
      </w:pPr>
      <w:r>
        <w:rPr>
          <w:rFonts w:ascii="Calibri" w:hAnsi="Calibri"/>
          <w:b w:val="0"/>
          <w:i w:val="0"/>
          <w:color w:val="0F172A"/>
          <w:sz w:val="22"/>
        </w:rPr>
        <w:t>This Business Requirements Document (BRD) captures the consolidated set of business goals, stakeholder expectations, success metrics, scope boundaries, and business-level requirements that must be satisfied by the AurborBloom HRMS deployment for Perfect Solutions. It serves as the contractual foundation upon which the Functional Requirements Document (FRD), system design, and acceptance test cases will be built.</w:t>
      </w:r>
    </w:p>
    <w:tbl>
      <w:tblPr>
        <w:tblW w:type="auto" w:w="0"/>
        <w:tblLook w:firstColumn="1" w:firstRow="1" w:lastColumn="0" w:lastRow="0" w:noHBand="0" w:noVBand="1" w:val="04A0"/>
      </w:tblPr>
      <w:tblGrid>
        <w:gridCol w:w="9972"/>
      </w:tblGrid>
      <w:tr>
        <w:tc>
          <w:tcPr>
            <w:tcW w:type="dxa" w:w="9972"/>
            <w:shd w:val="clear" w:color="auto" w:fill="DBEAFE"/>
            <w:tcBorders>
              <w:top w:val="single" w:sz="4" w:color="1E3A8A"/>
              <w:left w:val="single" w:sz="4" w:color="1E3A8A"/>
              <w:bottom w:val="single" w:sz="4" w:color="1E3A8A"/>
              <w:right w:val="single" w:sz="4" w:color="1E3A8A"/>
            </w:tcBorders>
          </w:tcPr>
          <w:p>
            <w:r/>
            <w:r>
              <w:rPr>
                <w:b/>
                <w:color w:val="1E3A8A"/>
                <w:sz w:val="22"/>
              </w:rPr>
              <w:t>Key Outcome Targets — reduce HR administrative effort by 60%, eliminate spreadsheet-driven tracking, achieve 99.9% platform availability, and deliver a measurable improvement in employee experience within two quarters of go-live.</w:t>
            </w:r>
          </w:p>
        </w:tc>
      </w:tr>
    </w:tbl>
    <w:p>
      <w:pPr>
        <w:spacing w:before="160" w:after="120"/>
      </w:pPr>
      <w:r>
        <w:rPr>
          <w:rFonts w:ascii="Calibri" w:hAnsi="Calibri"/>
          <w:b/>
          <w:color w:val="1E3A8A"/>
          <w:sz w:val="32"/>
        </w:rPr>
        <w:t>2.1 Business Drivers</w:t>
      </w:r>
    </w:p>
    <w:p>
      <w:pPr>
        <w:pStyle w:val="ListBullet"/>
        <w:spacing w:after="40"/>
      </w:pPr>
      <w:r>
        <w:rPr>
          <w:color w:val="0F172A"/>
          <w:sz w:val="22"/>
        </w:rPr>
        <w:t>Rapid headcount growth has outstripped existing spreadsheet- and email-based HR processes.</w:t>
      </w:r>
    </w:p>
    <w:p>
      <w:pPr>
        <w:pStyle w:val="ListBullet"/>
        <w:spacing w:after="40"/>
      </w:pPr>
      <w:r>
        <w:rPr>
          <w:color w:val="0F172A"/>
          <w:sz w:val="22"/>
        </w:rPr>
        <w:t>Multiple disconnected tools (separate apps for leave, attendance, helpdesk, calendar) cause data drift and reconciliation overhead.</w:t>
      </w:r>
    </w:p>
    <w:p>
      <w:pPr>
        <w:pStyle w:val="ListBullet"/>
        <w:spacing w:after="40"/>
      </w:pPr>
      <w:r>
        <w:rPr>
          <w:color w:val="0F172A"/>
          <w:sz w:val="22"/>
        </w:rPr>
        <w:t>Compliance and audit readiness demand a centralized, immutable record of HR transactions.</w:t>
      </w:r>
    </w:p>
    <w:p>
      <w:pPr>
        <w:pStyle w:val="ListBullet"/>
        <w:spacing w:after="40"/>
      </w:pPr>
      <w:r>
        <w:rPr>
          <w:color w:val="0F172A"/>
          <w:sz w:val="22"/>
        </w:rPr>
        <w:t>Distributed teams require a single, branded portal accessible from any device.</w:t>
      </w:r>
    </w:p>
    <w:p>
      <w:pPr>
        <w:pStyle w:val="ListBullet"/>
        <w:spacing w:after="40"/>
      </w:pPr>
      <w:r>
        <w:rPr>
          <w:color w:val="0F172A"/>
          <w:sz w:val="22"/>
        </w:rPr>
        <w:t>Leadership requires real-time, role-based dashboards for workforce decisions.</w:t>
      </w:r>
    </w:p>
    <w:p>
      <w:r>
        <w:br w:type="page"/>
      </w:r>
    </w:p>
    <w:p>
      <w:pPr>
        <w:spacing w:before="280" w:after="120"/>
        <w:pBdr>
          <w:bottom w:val="single" w:sz="8" w:color="1E3A8A"/>
        </w:pBdr>
      </w:pPr>
      <w:r>
        <w:rPr>
          <w:rFonts w:ascii="Calibri" w:hAnsi="Calibri"/>
          <w:b/>
          <w:color w:val="1E3A8A"/>
          <w:sz w:val="36"/>
        </w:rPr>
        <w:t>3. Company Overview — Perfect Solutions</w:t>
      </w:r>
    </w:p>
    <w:tbl>
      <w:tblPr>
        <w:tblStyle w:val="LightGrid-Accent1"/>
        <w:tblW w:type="auto" w:w="0"/>
        <w:tblLayout w:type="fixed"/>
        <w:tblLook w:firstColumn="1" w:firstRow="1" w:lastColumn="0" w:lastRow="0" w:noHBand="0" w:noVBand="1" w:val="04A0"/>
      </w:tblPr>
      <w:tblGrid>
        <w:gridCol w:w="4986"/>
        <w:gridCol w:w="4986"/>
      </w:tblGrid>
      <w:tr>
        <w:tc>
          <w:tcPr>
            <w:tcW w:type="dxa" w:w="2880"/>
            <w:shd w:val="clear" w:color="auto" w:fill="1E3A8A"/>
            <w:vAlign w:val="center"/>
          </w:tcPr>
          <w:p>
            <w:r/>
            <w:r>
              <w:rPr>
                <w:rFonts w:ascii="Calibri" w:hAnsi="Calibri"/>
                <w:b/>
                <w:color w:val="FFFFFF"/>
                <w:sz w:val="21"/>
              </w:rPr>
              <w:t>Attribute</w:t>
            </w:r>
          </w:p>
        </w:tc>
        <w:tc>
          <w:tcPr>
            <w:tcW w:type="dxa" w:w="6336"/>
            <w:shd w:val="clear" w:color="auto" w:fill="1E3A8A"/>
            <w:vAlign w:val="center"/>
          </w:tcPr>
          <w:p>
            <w:r/>
            <w:r>
              <w:rPr>
                <w:rFonts w:ascii="Calibri" w:hAnsi="Calibri"/>
                <w:b/>
                <w:color w:val="FFFFFF"/>
                <w:sz w:val="21"/>
              </w:rPr>
              <w:t>Value</w:t>
            </w:r>
          </w:p>
        </w:tc>
      </w:tr>
      <w:tr>
        <w:tc>
          <w:tcPr>
            <w:tcW w:type="dxa" w:w="2880"/>
            <w:vAlign w:val="center"/>
            <w:shd w:val="clear" w:color="auto" w:fill="F1F5F9"/>
          </w:tcPr>
          <w:p>
            <w:r/>
            <w:r>
              <w:rPr>
                <w:rFonts w:ascii="Calibri" w:hAnsi="Calibri"/>
                <w:color w:val="0F172A"/>
                <w:sz w:val="20"/>
              </w:rPr>
              <w:t>Legal Name</w:t>
            </w:r>
          </w:p>
        </w:tc>
        <w:tc>
          <w:tcPr>
            <w:tcW w:type="dxa" w:w="6336"/>
            <w:vAlign w:val="center"/>
            <w:shd w:val="clear" w:color="auto" w:fill="F1F5F9"/>
          </w:tcPr>
          <w:p>
            <w:r/>
            <w:r>
              <w:rPr>
                <w:rFonts w:ascii="Calibri" w:hAnsi="Calibri"/>
                <w:color w:val="0F172A"/>
                <w:sz w:val="20"/>
              </w:rPr>
              <w:t>Perfect Solutions</w:t>
            </w:r>
          </w:p>
        </w:tc>
      </w:tr>
      <w:tr>
        <w:tc>
          <w:tcPr>
            <w:tcW w:type="dxa" w:w="2880"/>
            <w:vAlign w:val="center"/>
          </w:tcPr>
          <w:p>
            <w:r/>
            <w:r>
              <w:rPr>
                <w:rFonts w:ascii="Calibri" w:hAnsi="Calibri"/>
                <w:color w:val="0F172A"/>
                <w:sz w:val="20"/>
              </w:rPr>
              <w:t>Industry</w:t>
            </w:r>
          </w:p>
        </w:tc>
        <w:tc>
          <w:tcPr>
            <w:tcW w:type="dxa" w:w="6336"/>
            <w:vAlign w:val="center"/>
          </w:tcPr>
          <w:p>
            <w:r/>
            <w:r>
              <w:rPr>
                <w:rFonts w:ascii="Calibri" w:hAnsi="Calibri"/>
                <w:color w:val="0F172A"/>
                <w:sz w:val="20"/>
              </w:rPr>
              <w:t>IT Services &amp; Software Development</w:t>
            </w:r>
          </w:p>
        </w:tc>
      </w:tr>
      <w:tr>
        <w:tc>
          <w:tcPr>
            <w:tcW w:type="dxa" w:w="2880"/>
            <w:vAlign w:val="center"/>
            <w:shd w:val="clear" w:color="auto" w:fill="F1F5F9"/>
          </w:tcPr>
          <w:p>
            <w:r/>
            <w:r>
              <w:rPr>
                <w:rFonts w:ascii="Calibri" w:hAnsi="Calibri"/>
                <w:color w:val="0F172A"/>
                <w:sz w:val="20"/>
              </w:rPr>
              <w:t>Company Size</w:t>
            </w:r>
          </w:p>
        </w:tc>
        <w:tc>
          <w:tcPr>
            <w:tcW w:type="dxa" w:w="6336"/>
            <w:vAlign w:val="center"/>
            <w:shd w:val="clear" w:color="auto" w:fill="F1F5F9"/>
          </w:tcPr>
          <w:p>
            <w:r/>
            <w:r>
              <w:rPr>
                <w:rFonts w:ascii="Calibri" w:hAnsi="Calibri"/>
                <w:color w:val="0F172A"/>
                <w:sz w:val="20"/>
              </w:rPr>
              <w:t>Medium (51 – 250 employees)</w:t>
            </w:r>
          </w:p>
        </w:tc>
      </w:tr>
      <w:tr>
        <w:tc>
          <w:tcPr>
            <w:tcW w:type="dxa" w:w="2880"/>
            <w:vAlign w:val="center"/>
          </w:tcPr>
          <w:p>
            <w:r/>
            <w:r>
              <w:rPr>
                <w:rFonts w:ascii="Calibri" w:hAnsi="Calibri"/>
                <w:color w:val="0F172A"/>
                <w:sz w:val="20"/>
              </w:rPr>
              <w:t>Primary Markets</w:t>
            </w:r>
          </w:p>
        </w:tc>
        <w:tc>
          <w:tcPr>
            <w:tcW w:type="dxa" w:w="6336"/>
            <w:vAlign w:val="center"/>
          </w:tcPr>
          <w:p>
            <w:r/>
            <w:r>
              <w:rPr>
                <w:rFonts w:ascii="Calibri" w:hAnsi="Calibri"/>
                <w:color w:val="0F172A"/>
                <w:sz w:val="20"/>
              </w:rPr>
              <w:t>United States, with offshore engineering presence</w:t>
            </w:r>
          </w:p>
        </w:tc>
      </w:tr>
      <w:tr>
        <w:tc>
          <w:tcPr>
            <w:tcW w:type="dxa" w:w="2880"/>
            <w:vAlign w:val="center"/>
            <w:shd w:val="clear" w:color="auto" w:fill="F1F5F9"/>
          </w:tcPr>
          <w:p>
            <w:r/>
            <w:r>
              <w:rPr>
                <w:rFonts w:ascii="Calibri" w:hAnsi="Calibri"/>
                <w:color w:val="0F172A"/>
                <w:sz w:val="20"/>
              </w:rPr>
              <w:t>Brand Tagline</w:t>
            </w:r>
          </w:p>
        </w:tc>
        <w:tc>
          <w:tcPr>
            <w:tcW w:type="dxa" w:w="6336"/>
            <w:vAlign w:val="center"/>
            <w:shd w:val="clear" w:color="auto" w:fill="F1F5F9"/>
          </w:tcPr>
          <w:p>
            <w:r/>
            <w:r>
              <w:rPr>
                <w:rFonts w:ascii="Calibri" w:hAnsi="Calibri"/>
                <w:color w:val="0F172A"/>
                <w:sz w:val="20"/>
              </w:rPr>
              <w:t>Unleashing IT Talent</w:t>
            </w:r>
          </w:p>
        </w:tc>
      </w:tr>
      <w:tr>
        <w:tc>
          <w:tcPr>
            <w:tcW w:type="dxa" w:w="2880"/>
            <w:vAlign w:val="center"/>
          </w:tcPr>
          <w:p>
            <w:r/>
            <w:r>
              <w:rPr>
                <w:rFonts w:ascii="Calibri" w:hAnsi="Calibri"/>
                <w:color w:val="0F172A"/>
                <w:sz w:val="20"/>
              </w:rPr>
              <w:t>Primary Brand Color</w:t>
            </w:r>
          </w:p>
        </w:tc>
        <w:tc>
          <w:tcPr>
            <w:tcW w:type="dxa" w:w="6336"/>
            <w:vAlign w:val="center"/>
          </w:tcPr>
          <w:p>
            <w:r/>
            <w:r>
              <w:rPr>
                <w:rFonts w:ascii="Calibri" w:hAnsi="Calibri"/>
                <w:color w:val="0F172A"/>
                <w:sz w:val="20"/>
              </w:rPr>
              <w:t>#1E3A8A (Deep Corporate Blue)</w:t>
            </w:r>
          </w:p>
        </w:tc>
      </w:tr>
      <w:tr>
        <w:tc>
          <w:tcPr>
            <w:tcW w:type="dxa" w:w="2880"/>
            <w:vAlign w:val="center"/>
            <w:shd w:val="clear" w:color="auto" w:fill="F1F5F9"/>
          </w:tcPr>
          <w:p>
            <w:r/>
            <w:r>
              <w:rPr>
                <w:rFonts w:ascii="Calibri" w:hAnsi="Calibri"/>
                <w:color w:val="0F172A"/>
                <w:sz w:val="20"/>
              </w:rPr>
              <w:t>Secondary Brand Color</w:t>
            </w:r>
          </w:p>
        </w:tc>
        <w:tc>
          <w:tcPr>
            <w:tcW w:type="dxa" w:w="6336"/>
            <w:vAlign w:val="center"/>
            <w:shd w:val="clear" w:color="auto" w:fill="F1F5F9"/>
          </w:tcPr>
          <w:p>
            <w:r/>
            <w:r>
              <w:rPr>
                <w:rFonts w:ascii="Calibri" w:hAnsi="Calibri"/>
                <w:color w:val="0F172A"/>
                <w:sz w:val="20"/>
              </w:rPr>
              <w:t>#3B82F6 (Action Blue)</w:t>
            </w:r>
          </w:p>
        </w:tc>
      </w:tr>
      <w:tr>
        <w:tc>
          <w:tcPr>
            <w:tcW w:type="dxa" w:w="2880"/>
            <w:vAlign w:val="center"/>
          </w:tcPr>
          <w:p>
            <w:r/>
            <w:r>
              <w:rPr>
                <w:rFonts w:ascii="Calibri" w:hAnsi="Calibri"/>
                <w:color w:val="0F172A"/>
                <w:sz w:val="20"/>
              </w:rPr>
              <w:t>Public Website</w:t>
            </w:r>
          </w:p>
        </w:tc>
        <w:tc>
          <w:tcPr>
            <w:tcW w:type="dxa" w:w="6336"/>
            <w:vAlign w:val="center"/>
          </w:tcPr>
          <w:p>
            <w:r/>
            <w:r>
              <w:rPr>
                <w:rFonts w:ascii="Calibri" w:hAnsi="Calibri"/>
                <w:color w:val="0F172A"/>
                <w:sz w:val="20"/>
              </w:rPr>
              <w:t>www.perfectgroupus.com</w:t>
            </w:r>
          </w:p>
        </w:tc>
      </w:tr>
      <w:tr>
        <w:tc>
          <w:tcPr>
            <w:tcW w:type="dxa" w:w="2880"/>
            <w:vAlign w:val="center"/>
            <w:shd w:val="clear" w:color="auto" w:fill="F1F5F9"/>
          </w:tcPr>
          <w:p>
            <w:r/>
            <w:r>
              <w:rPr>
                <w:rFonts w:ascii="Calibri" w:hAnsi="Calibri"/>
                <w:color w:val="0F172A"/>
                <w:sz w:val="20"/>
              </w:rPr>
              <w:t>HRMS Tenant Slug</w:t>
            </w:r>
          </w:p>
        </w:tc>
        <w:tc>
          <w:tcPr>
            <w:tcW w:type="dxa" w:w="6336"/>
            <w:vAlign w:val="center"/>
            <w:shd w:val="clear" w:color="auto" w:fill="F1F5F9"/>
          </w:tcPr>
          <w:p>
            <w:r/>
            <w:r>
              <w:rPr>
                <w:rFonts w:ascii="Calibri" w:hAnsi="Calibri"/>
                <w:color w:val="0F172A"/>
                <w:sz w:val="20"/>
              </w:rPr>
              <w:t>perfectsolutions</w:t>
            </w:r>
          </w:p>
        </w:tc>
      </w:tr>
      <w:tr>
        <w:tc>
          <w:tcPr>
            <w:tcW w:type="dxa" w:w="2880"/>
            <w:vAlign w:val="center"/>
          </w:tcPr>
          <w:p>
            <w:r/>
            <w:r>
              <w:rPr>
                <w:rFonts w:ascii="Calibri" w:hAnsi="Calibri"/>
                <w:color w:val="0F172A"/>
                <w:sz w:val="20"/>
              </w:rPr>
              <w:t>Custom Domain</w:t>
            </w:r>
          </w:p>
        </w:tc>
        <w:tc>
          <w:tcPr>
            <w:tcW w:type="dxa" w:w="6336"/>
            <w:vAlign w:val="center"/>
          </w:tcPr>
          <w:p>
            <w:r/>
            <w:r>
              <w:rPr>
                <w:rFonts w:ascii="Calibri" w:hAnsi="Calibri"/>
                <w:color w:val="0F172A"/>
                <w:sz w:val="20"/>
              </w:rPr>
              <w:t>hr.perfectsolutions.com</w:t>
            </w:r>
          </w:p>
        </w:tc>
      </w:tr>
      <w:tr>
        <w:tc>
          <w:tcPr>
            <w:tcW w:type="dxa" w:w="2880"/>
            <w:vAlign w:val="center"/>
            <w:shd w:val="clear" w:color="auto" w:fill="F1F5F9"/>
          </w:tcPr>
          <w:p>
            <w:r/>
            <w:r>
              <w:rPr>
                <w:rFonts w:ascii="Calibri" w:hAnsi="Calibri"/>
                <w:color w:val="0F172A"/>
                <w:sz w:val="20"/>
              </w:rPr>
              <w:t>Departments In Scope</w:t>
            </w:r>
          </w:p>
        </w:tc>
        <w:tc>
          <w:tcPr>
            <w:tcW w:type="dxa" w:w="6336"/>
            <w:vAlign w:val="center"/>
            <w:shd w:val="clear" w:color="auto" w:fill="F1F5F9"/>
          </w:tcPr>
          <w:p>
            <w:r/>
            <w:r>
              <w:rPr>
                <w:rFonts w:ascii="Calibri" w:hAnsi="Calibri"/>
                <w:color w:val="0F172A"/>
                <w:sz w:val="20"/>
              </w:rPr>
              <w:t>Engineering, Sales, Marketing, Finance, Human Resources, General</w:t>
            </w:r>
          </w:p>
        </w:tc>
      </w:tr>
    </w:tbl>
    <w:p>
      <w:pPr>
        <w:spacing w:before="160" w:after="120"/>
      </w:pPr>
      <w:r>
        <w:rPr>
          <w:rFonts w:ascii="Calibri" w:hAnsi="Calibri"/>
          <w:b/>
          <w:color w:val="1E3A8A"/>
          <w:sz w:val="32"/>
        </w:rPr>
        <w:t>3.1 Strategic Context</w:t>
      </w:r>
    </w:p>
    <w:p>
      <w:pPr>
        <w:spacing w:after="80"/>
      </w:pPr>
      <w:r>
        <w:rPr>
          <w:rFonts w:ascii="Calibri" w:hAnsi="Calibri"/>
          <w:b w:val="0"/>
          <w:i w:val="0"/>
          <w:color w:val="0F172A"/>
          <w:sz w:val="22"/>
        </w:rPr>
        <w:t>Perfect Solutions positions itself as a high-velocity IT talent firm. The HR function is therefore not a back-office cost center but a competitive differentiator: speed of hiring, accuracy of billing for time-and-materials engagements, and employee retention all flow directly through HR systems. The HRMS is therefore treated as a Tier-1 business system with stringent uptime, security, and reporting requirements.</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Capture — Perfect Solutions Tenant Landing (hr.perfectsolutions.com)</w:t>
            </w:r>
          </w:p>
        </w:tc>
      </w:tr>
    </w:tbl>
    <w:p>
      <w:pPr>
        <w:spacing w:before="0" w:after="40"/>
        <w:jc w:val="center"/>
      </w:pPr>
      <w:r>
        <w:drawing>
          <wp:inline xmlns:a="http://schemas.openxmlformats.org/drawingml/2006/main" xmlns:pic="http://schemas.openxmlformats.org/drawingml/2006/picture">
            <wp:extent cx="5669280" cy="2657475"/>
            <wp:docPr id="2" name="Picture 2"/>
            <wp:cNvGraphicFramePr>
              <a:graphicFrameLocks noChangeAspect="1"/>
            </wp:cNvGraphicFramePr>
            <a:graphic>
              <a:graphicData uri="http://schemas.openxmlformats.org/drawingml/2006/picture">
                <pic:pic>
                  <pic:nvPicPr>
                    <pic:cNvPr id="0" name="01_tenant_landing.png"/>
                    <pic:cNvPicPr/>
                  </pic:nvPicPr>
                  <pic:blipFill>
                    <a:blip r:embed="rId12"/>
                    <a:stretch>
                      <a:fillRect/>
                    </a:stretch>
                  </pic:blipFill>
                  <pic:spPr>
                    <a:xfrm>
                      <a:off x="0" y="0"/>
                      <a:ext cx="5669280" cy="2657475"/>
                    </a:xfrm>
                    <a:prstGeom prst="rect"/>
                  </pic:spPr>
                </pic:pic>
              </a:graphicData>
            </a:graphic>
          </wp:inline>
        </w:drawing>
      </w:r>
    </w:p>
    <w:p>
      <w:pPr>
        <w:spacing w:before="0"/>
        <w:jc w:val="center"/>
      </w:pPr>
      <w:r>
        <w:rPr>
          <w:i/>
          <w:color w:val="64748B"/>
          <w:sz w:val="19"/>
        </w:rPr>
        <w:t>Figure 6 — The tenant-branded landing page rendered from live multi-tenant infrastructure.</w:t>
      </w:r>
    </w:p>
    <w:p>
      <w:pPr>
        <w:jc w:val="center"/>
      </w:pPr>
      <w:r>
        <w:drawing>
          <wp:inline xmlns:a="http://schemas.openxmlformats.org/drawingml/2006/main" xmlns:pic="http://schemas.openxmlformats.org/drawingml/2006/picture">
            <wp:extent cx="5852160" cy="3390196"/>
            <wp:docPr id="3" name="Picture 3"/>
            <wp:cNvGraphicFramePr>
              <a:graphicFrameLocks noChangeAspect="1"/>
            </wp:cNvGraphicFramePr>
            <a:graphic>
              <a:graphicData uri="http://schemas.openxmlformats.org/drawingml/2006/picture">
                <pic:pic>
                  <pic:nvPicPr>
                    <pic:cNvPr id="0" name="modules.png"/>
                    <pic:cNvPicPr/>
                  </pic:nvPicPr>
                  <pic:blipFill>
                    <a:blip r:embed="rId13"/>
                    <a:stretch>
                      <a:fillRect/>
                    </a:stretch>
                  </pic:blipFill>
                  <pic:spPr>
                    <a:xfrm>
                      <a:off x="0" y="0"/>
                      <a:ext cx="5852160" cy="3390196"/>
                    </a:xfrm>
                    <a:prstGeom prst="rect"/>
                  </pic:spPr>
                </pic:pic>
              </a:graphicData>
            </a:graphic>
          </wp:inline>
        </w:drawing>
      </w:r>
    </w:p>
    <w:p>
      <w:pPr>
        <w:jc w:val="center"/>
      </w:pPr>
      <w:r>
        <w:rPr>
          <w:i/>
          <w:color w:val="64748B"/>
          <w:sz w:val="19"/>
        </w:rPr>
        <w:t>Figure 5 — HRMS Module Map for Perfect Solutions</w:t>
      </w:r>
    </w:p>
    <w:p>
      <w:r>
        <w:br w:type="page"/>
      </w:r>
    </w:p>
    <w:p>
      <w:pPr>
        <w:spacing w:before="280" w:after="120"/>
        <w:pBdr>
          <w:bottom w:val="single" w:sz="8" w:color="1E3A8A"/>
        </w:pBdr>
      </w:pPr>
      <w:r>
        <w:rPr>
          <w:rFonts w:ascii="Calibri" w:hAnsi="Calibri"/>
          <w:b/>
          <w:color w:val="1E3A8A"/>
          <w:sz w:val="36"/>
        </w:rPr>
        <w:t>4. Stakeholders &amp; User Personas</w:t>
      </w:r>
    </w:p>
    <w:p>
      <w:pPr>
        <w:spacing w:after="80"/>
      </w:pPr>
      <w:r>
        <w:rPr>
          <w:rFonts w:ascii="Calibri" w:hAnsi="Calibri"/>
          <w:b w:val="0"/>
          <w:i w:val="0"/>
          <w:color w:val="0F172A"/>
          <w:sz w:val="22"/>
        </w:rPr>
        <w:t>The following stakeholder map identifies the primary actors who will interact with, sponsor, govern, or be impacted by the AurborBloom HRMS deployment for Perfect Solutions.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2304"/>
            <w:shd w:val="clear" w:color="auto" w:fill="1E3A8A"/>
            <w:vAlign w:val="center"/>
          </w:tcPr>
          <w:p>
            <w:r/>
            <w:r>
              <w:rPr>
                <w:rFonts w:ascii="Calibri" w:hAnsi="Calibri"/>
                <w:b/>
                <w:color w:val="FFFFFF"/>
                <w:sz w:val="21"/>
              </w:rPr>
              <w:t>Stakeholder</w:t>
            </w:r>
          </w:p>
        </w:tc>
        <w:tc>
          <w:tcPr>
            <w:tcW w:type="dxa" w:w="1872"/>
            <w:shd w:val="clear" w:color="auto" w:fill="1E3A8A"/>
            <w:vAlign w:val="center"/>
          </w:tcPr>
          <w:p>
            <w:r/>
            <w:r>
              <w:rPr>
                <w:rFonts w:ascii="Calibri" w:hAnsi="Calibri"/>
                <w:b/>
                <w:color w:val="FFFFFF"/>
                <w:sz w:val="21"/>
              </w:rPr>
              <w:t>Role</w:t>
            </w:r>
          </w:p>
        </w:tc>
        <w:tc>
          <w:tcPr>
            <w:tcW w:type="dxa" w:w="1152"/>
            <w:shd w:val="clear" w:color="auto" w:fill="1E3A8A"/>
            <w:vAlign w:val="center"/>
          </w:tcPr>
          <w:p>
            <w:r/>
            <w:r>
              <w:rPr>
                <w:rFonts w:ascii="Calibri" w:hAnsi="Calibri"/>
                <w:b/>
                <w:color w:val="FFFFFF"/>
                <w:sz w:val="21"/>
              </w:rPr>
              <w:t>Influence</w:t>
            </w:r>
          </w:p>
        </w:tc>
        <w:tc>
          <w:tcPr>
            <w:tcW w:type="dxa" w:w="1152"/>
            <w:shd w:val="clear" w:color="auto" w:fill="1E3A8A"/>
            <w:vAlign w:val="center"/>
          </w:tcPr>
          <w:p>
            <w:r/>
            <w:r>
              <w:rPr>
                <w:rFonts w:ascii="Calibri" w:hAnsi="Calibri"/>
                <w:b/>
                <w:color w:val="FFFFFF"/>
                <w:sz w:val="21"/>
              </w:rPr>
              <w:t>Interest</w:t>
            </w:r>
          </w:p>
        </w:tc>
        <w:tc>
          <w:tcPr>
            <w:tcW w:type="dxa" w:w="2880"/>
            <w:shd w:val="clear" w:color="auto" w:fill="1E3A8A"/>
            <w:vAlign w:val="center"/>
          </w:tcPr>
          <w:p>
            <w:r/>
            <w:r>
              <w:rPr>
                <w:rFonts w:ascii="Calibri" w:hAnsi="Calibri"/>
                <w:b/>
                <w:color w:val="FFFFFF"/>
                <w:sz w:val="21"/>
              </w:rPr>
              <w:t>Engagement Strategy</w:t>
            </w:r>
          </w:p>
        </w:tc>
      </w:tr>
      <w:tr>
        <w:tc>
          <w:tcPr>
            <w:tcW w:type="dxa" w:w="2304"/>
            <w:vAlign w:val="center"/>
            <w:shd w:val="clear" w:color="auto" w:fill="F1F5F9"/>
          </w:tcPr>
          <w:p>
            <w:r/>
            <w:r>
              <w:rPr>
                <w:rFonts w:ascii="Calibri" w:hAnsi="Calibri"/>
                <w:color w:val="0F172A"/>
                <w:sz w:val="20"/>
              </w:rPr>
              <w:t>Director, IT Services</w:t>
            </w:r>
          </w:p>
        </w:tc>
        <w:tc>
          <w:tcPr>
            <w:tcW w:type="dxa" w:w="1872"/>
            <w:vAlign w:val="center"/>
            <w:shd w:val="clear" w:color="auto" w:fill="F1F5F9"/>
          </w:tcPr>
          <w:p>
            <w:r/>
            <w:r>
              <w:rPr>
                <w:rFonts w:ascii="Calibri" w:hAnsi="Calibri"/>
                <w:color w:val="0F172A"/>
                <w:sz w:val="20"/>
              </w:rPr>
              <w:t>Executive Sponsor</w:t>
            </w:r>
          </w:p>
        </w:tc>
        <w:tc>
          <w:tcPr>
            <w:tcW w:type="dxa" w:w="1152"/>
            <w:vAlign w:val="center"/>
            <w:shd w:val="clear" w:color="auto" w:fill="F1F5F9"/>
          </w:tcPr>
          <w:p>
            <w:r/>
            <w:r>
              <w:rPr>
                <w:rFonts w:ascii="Calibri" w:hAnsi="Calibri"/>
                <w:color w:val="0F172A"/>
                <w:sz w:val="20"/>
              </w:rPr>
              <w:t>High</w:t>
            </w:r>
          </w:p>
        </w:tc>
        <w:tc>
          <w:tcPr>
            <w:tcW w:type="dxa" w:w="1152"/>
            <w:vAlign w:val="center"/>
            <w:shd w:val="clear" w:color="auto" w:fill="F1F5F9"/>
          </w:tcPr>
          <w:p>
            <w:r/>
            <w:r>
              <w:rPr>
                <w:rFonts w:ascii="Calibri" w:hAnsi="Calibri"/>
                <w:color w:val="0F172A"/>
                <w:sz w:val="20"/>
              </w:rPr>
              <w:t>High</w:t>
            </w:r>
          </w:p>
        </w:tc>
        <w:tc>
          <w:tcPr>
            <w:tcW w:type="dxa" w:w="2880"/>
            <w:vAlign w:val="center"/>
            <w:shd w:val="clear" w:color="auto" w:fill="F1F5F9"/>
          </w:tcPr>
          <w:p>
            <w:r/>
            <w:r>
              <w:rPr>
                <w:rFonts w:ascii="Calibri" w:hAnsi="Calibri"/>
                <w:color w:val="0F172A"/>
                <w:sz w:val="20"/>
              </w:rPr>
              <w:t>Steering committee, monthly review</w:t>
            </w:r>
          </w:p>
        </w:tc>
      </w:tr>
      <w:tr>
        <w:tc>
          <w:tcPr>
            <w:tcW w:type="dxa" w:w="2304"/>
            <w:vAlign w:val="center"/>
          </w:tcPr>
          <w:p>
            <w:r/>
            <w:r>
              <w:rPr>
                <w:rFonts w:ascii="Calibri" w:hAnsi="Calibri"/>
                <w:color w:val="0F172A"/>
                <w:sz w:val="20"/>
              </w:rPr>
              <w:t>Head of Human Resources</w:t>
            </w:r>
          </w:p>
        </w:tc>
        <w:tc>
          <w:tcPr>
            <w:tcW w:type="dxa" w:w="1872"/>
            <w:vAlign w:val="center"/>
          </w:tcPr>
          <w:p>
            <w:r/>
            <w:r>
              <w:rPr>
                <w:rFonts w:ascii="Calibri" w:hAnsi="Calibri"/>
                <w:color w:val="0F172A"/>
                <w:sz w:val="20"/>
              </w:rPr>
              <w:t>Business Owner</w:t>
            </w:r>
          </w:p>
        </w:tc>
        <w:tc>
          <w:tcPr>
            <w:tcW w:type="dxa" w:w="1152"/>
            <w:vAlign w:val="center"/>
          </w:tcPr>
          <w:p>
            <w:r/>
            <w:r>
              <w:rPr>
                <w:rFonts w:ascii="Calibri" w:hAnsi="Calibri"/>
                <w:color w:val="0F172A"/>
                <w:sz w:val="20"/>
              </w:rPr>
              <w:t>High</w:t>
            </w:r>
          </w:p>
        </w:tc>
        <w:tc>
          <w:tcPr>
            <w:tcW w:type="dxa" w:w="1152"/>
            <w:vAlign w:val="center"/>
          </w:tcPr>
          <w:p>
            <w:r/>
            <w:r>
              <w:rPr>
                <w:rFonts w:ascii="Calibri" w:hAnsi="Calibri"/>
                <w:color w:val="0F172A"/>
                <w:sz w:val="20"/>
              </w:rPr>
              <w:t>High</w:t>
            </w:r>
          </w:p>
        </w:tc>
        <w:tc>
          <w:tcPr>
            <w:tcW w:type="dxa" w:w="2880"/>
            <w:vAlign w:val="center"/>
          </w:tcPr>
          <w:p>
            <w:r/>
            <w:r>
              <w:rPr>
                <w:rFonts w:ascii="Calibri" w:hAnsi="Calibri"/>
                <w:color w:val="0F172A"/>
                <w:sz w:val="20"/>
              </w:rPr>
              <w:t>Weekly working group</w:t>
            </w:r>
          </w:p>
        </w:tc>
      </w:tr>
      <w:tr>
        <w:tc>
          <w:tcPr>
            <w:tcW w:type="dxa" w:w="2304"/>
            <w:vAlign w:val="center"/>
            <w:shd w:val="clear" w:color="auto" w:fill="F1F5F9"/>
          </w:tcPr>
          <w:p>
            <w:r/>
            <w:r>
              <w:rPr>
                <w:rFonts w:ascii="Calibri" w:hAnsi="Calibri"/>
                <w:color w:val="0F172A"/>
                <w:sz w:val="20"/>
              </w:rPr>
              <w:t>CFO</w:t>
            </w:r>
          </w:p>
        </w:tc>
        <w:tc>
          <w:tcPr>
            <w:tcW w:type="dxa" w:w="1872"/>
            <w:vAlign w:val="center"/>
            <w:shd w:val="clear" w:color="auto" w:fill="F1F5F9"/>
          </w:tcPr>
          <w:p>
            <w:r/>
            <w:r>
              <w:rPr>
                <w:rFonts w:ascii="Calibri" w:hAnsi="Calibri"/>
                <w:color w:val="0F172A"/>
                <w:sz w:val="20"/>
              </w:rPr>
              <w:t>Financial Approver</w:t>
            </w:r>
          </w:p>
        </w:tc>
        <w:tc>
          <w:tcPr>
            <w:tcW w:type="dxa" w:w="1152"/>
            <w:vAlign w:val="center"/>
            <w:shd w:val="clear" w:color="auto" w:fill="F1F5F9"/>
          </w:tcPr>
          <w:p>
            <w:r/>
            <w:r>
              <w:rPr>
                <w:rFonts w:ascii="Calibri" w:hAnsi="Calibri"/>
                <w:color w:val="0F172A"/>
                <w:sz w:val="20"/>
              </w:rPr>
              <w:t>High</w:t>
            </w:r>
          </w:p>
        </w:tc>
        <w:tc>
          <w:tcPr>
            <w:tcW w:type="dxa" w:w="1152"/>
            <w:vAlign w:val="center"/>
            <w:shd w:val="clear" w:color="auto" w:fill="F1F5F9"/>
          </w:tcPr>
          <w:p>
            <w:r/>
            <w:r>
              <w:rPr>
                <w:rFonts w:ascii="Calibri" w:hAnsi="Calibri"/>
                <w:color w:val="0F172A"/>
                <w:sz w:val="20"/>
              </w:rPr>
              <w:t>Medium</w:t>
            </w:r>
          </w:p>
        </w:tc>
        <w:tc>
          <w:tcPr>
            <w:tcW w:type="dxa" w:w="2880"/>
            <w:vAlign w:val="center"/>
            <w:shd w:val="clear" w:color="auto" w:fill="F1F5F9"/>
          </w:tcPr>
          <w:p>
            <w:r/>
            <w:r>
              <w:rPr>
                <w:rFonts w:ascii="Calibri" w:hAnsi="Calibri"/>
                <w:color w:val="0F172A"/>
                <w:sz w:val="20"/>
              </w:rPr>
              <w:t>Budget gates, ROI checkpoints</w:t>
            </w:r>
          </w:p>
        </w:tc>
      </w:tr>
      <w:tr>
        <w:tc>
          <w:tcPr>
            <w:tcW w:type="dxa" w:w="2304"/>
            <w:vAlign w:val="center"/>
          </w:tcPr>
          <w:p>
            <w:r/>
            <w:r>
              <w:rPr>
                <w:rFonts w:ascii="Calibri" w:hAnsi="Calibri"/>
                <w:color w:val="0F172A"/>
                <w:sz w:val="20"/>
              </w:rPr>
              <w:t>Engineering Manager</w:t>
            </w:r>
          </w:p>
        </w:tc>
        <w:tc>
          <w:tcPr>
            <w:tcW w:type="dxa" w:w="1872"/>
            <w:vAlign w:val="center"/>
          </w:tcPr>
          <w:p>
            <w:r/>
            <w:r>
              <w:rPr>
                <w:rFonts w:ascii="Calibri" w:hAnsi="Calibri"/>
                <w:color w:val="0F172A"/>
                <w:sz w:val="20"/>
              </w:rPr>
              <w:t>Power User</w:t>
            </w:r>
          </w:p>
        </w:tc>
        <w:tc>
          <w:tcPr>
            <w:tcW w:type="dxa" w:w="1152"/>
            <w:vAlign w:val="center"/>
          </w:tcPr>
          <w:p>
            <w:r/>
            <w:r>
              <w:rPr>
                <w:rFonts w:ascii="Calibri" w:hAnsi="Calibri"/>
                <w:color w:val="0F172A"/>
                <w:sz w:val="20"/>
              </w:rPr>
              <w:t>Medium</w:t>
            </w:r>
          </w:p>
        </w:tc>
        <w:tc>
          <w:tcPr>
            <w:tcW w:type="dxa" w:w="1152"/>
            <w:vAlign w:val="center"/>
          </w:tcPr>
          <w:p>
            <w:r/>
            <w:r>
              <w:rPr>
                <w:rFonts w:ascii="Calibri" w:hAnsi="Calibri"/>
                <w:color w:val="0F172A"/>
                <w:sz w:val="20"/>
              </w:rPr>
              <w:t>High</w:t>
            </w:r>
          </w:p>
        </w:tc>
        <w:tc>
          <w:tcPr>
            <w:tcW w:type="dxa" w:w="2880"/>
            <w:vAlign w:val="center"/>
          </w:tcPr>
          <w:p>
            <w:r/>
            <w:r>
              <w:rPr>
                <w:rFonts w:ascii="Calibri" w:hAnsi="Calibri"/>
                <w:color w:val="0F172A"/>
                <w:sz w:val="20"/>
              </w:rPr>
              <w:t>Pilot user, feedback loop</w:t>
            </w:r>
          </w:p>
        </w:tc>
      </w:tr>
      <w:tr>
        <w:tc>
          <w:tcPr>
            <w:tcW w:type="dxa" w:w="2304"/>
            <w:vAlign w:val="center"/>
            <w:shd w:val="clear" w:color="auto" w:fill="F1F5F9"/>
          </w:tcPr>
          <w:p>
            <w:r/>
            <w:r>
              <w:rPr>
                <w:rFonts w:ascii="Calibri" w:hAnsi="Calibri"/>
                <w:color w:val="0F172A"/>
                <w:sz w:val="20"/>
              </w:rPr>
              <w:t>HR Operations Lead</w:t>
            </w:r>
          </w:p>
        </w:tc>
        <w:tc>
          <w:tcPr>
            <w:tcW w:type="dxa" w:w="1872"/>
            <w:vAlign w:val="center"/>
            <w:shd w:val="clear" w:color="auto" w:fill="F1F5F9"/>
          </w:tcPr>
          <w:p>
            <w:r/>
            <w:r>
              <w:rPr>
                <w:rFonts w:ascii="Calibri" w:hAnsi="Calibri"/>
                <w:color w:val="0F172A"/>
                <w:sz w:val="20"/>
              </w:rPr>
              <w:t>Day-to-day Owner</w:t>
            </w:r>
          </w:p>
        </w:tc>
        <w:tc>
          <w:tcPr>
            <w:tcW w:type="dxa" w:w="1152"/>
            <w:vAlign w:val="center"/>
            <w:shd w:val="clear" w:color="auto" w:fill="F1F5F9"/>
          </w:tcPr>
          <w:p>
            <w:r/>
            <w:r>
              <w:rPr>
                <w:rFonts w:ascii="Calibri" w:hAnsi="Calibri"/>
                <w:color w:val="0F172A"/>
                <w:sz w:val="20"/>
              </w:rPr>
              <w:t>Medium</w:t>
            </w:r>
          </w:p>
        </w:tc>
        <w:tc>
          <w:tcPr>
            <w:tcW w:type="dxa" w:w="1152"/>
            <w:vAlign w:val="center"/>
            <w:shd w:val="clear" w:color="auto" w:fill="F1F5F9"/>
          </w:tcPr>
          <w:p>
            <w:r/>
            <w:r>
              <w:rPr>
                <w:rFonts w:ascii="Calibri" w:hAnsi="Calibri"/>
                <w:color w:val="0F172A"/>
                <w:sz w:val="20"/>
              </w:rPr>
              <w:t>High</w:t>
            </w:r>
          </w:p>
        </w:tc>
        <w:tc>
          <w:tcPr>
            <w:tcW w:type="dxa" w:w="2880"/>
            <w:vAlign w:val="center"/>
            <w:shd w:val="clear" w:color="auto" w:fill="F1F5F9"/>
          </w:tcPr>
          <w:p>
            <w:r/>
            <w:r>
              <w:rPr>
                <w:rFonts w:ascii="Calibri" w:hAnsi="Calibri"/>
                <w:color w:val="0F172A"/>
                <w:sz w:val="20"/>
              </w:rPr>
              <w:t>UAT, training champion</w:t>
            </w:r>
          </w:p>
        </w:tc>
      </w:tr>
      <w:tr>
        <w:tc>
          <w:tcPr>
            <w:tcW w:type="dxa" w:w="2304"/>
            <w:vAlign w:val="center"/>
          </w:tcPr>
          <w:p>
            <w:r/>
            <w:r>
              <w:rPr>
                <w:rFonts w:ascii="Calibri" w:hAnsi="Calibri"/>
                <w:color w:val="0F172A"/>
                <w:sz w:val="20"/>
              </w:rPr>
              <w:t>IT Security Officer</w:t>
            </w:r>
          </w:p>
        </w:tc>
        <w:tc>
          <w:tcPr>
            <w:tcW w:type="dxa" w:w="1872"/>
            <w:vAlign w:val="center"/>
          </w:tcPr>
          <w:p>
            <w:r/>
            <w:r>
              <w:rPr>
                <w:rFonts w:ascii="Calibri" w:hAnsi="Calibri"/>
                <w:color w:val="0F172A"/>
                <w:sz w:val="20"/>
              </w:rPr>
              <w:t>Risk Approver</w:t>
            </w:r>
          </w:p>
        </w:tc>
        <w:tc>
          <w:tcPr>
            <w:tcW w:type="dxa" w:w="1152"/>
            <w:vAlign w:val="center"/>
          </w:tcPr>
          <w:p>
            <w:r/>
            <w:r>
              <w:rPr>
                <w:rFonts w:ascii="Calibri" w:hAnsi="Calibri"/>
                <w:color w:val="0F172A"/>
                <w:sz w:val="20"/>
              </w:rPr>
              <w:t>High</w:t>
            </w:r>
          </w:p>
        </w:tc>
        <w:tc>
          <w:tcPr>
            <w:tcW w:type="dxa" w:w="1152"/>
            <w:vAlign w:val="center"/>
          </w:tcPr>
          <w:p>
            <w:r/>
            <w:r>
              <w:rPr>
                <w:rFonts w:ascii="Calibri" w:hAnsi="Calibri"/>
                <w:color w:val="0F172A"/>
                <w:sz w:val="20"/>
              </w:rPr>
              <w:t>Medium</w:t>
            </w:r>
          </w:p>
        </w:tc>
        <w:tc>
          <w:tcPr>
            <w:tcW w:type="dxa" w:w="2880"/>
            <w:vAlign w:val="center"/>
          </w:tcPr>
          <w:p>
            <w:r/>
            <w:r>
              <w:rPr>
                <w:rFonts w:ascii="Calibri" w:hAnsi="Calibri"/>
                <w:color w:val="0F172A"/>
                <w:sz w:val="20"/>
              </w:rPr>
              <w:t>Security review at each phase</w:t>
            </w:r>
          </w:p>
        </w:tc>
      </w:tr>
      <w:tr>
        <w:tc>
          <w:tcPr>
            <w:tcW w:type="dxa" w:w="2304"/>
            <w:vAlign w:val="center"/>
            <w:shd w:val="clear" w:color="auto" w:fill="F1F5F9"/>
          </w:tcPr>
          <w:p>
            <w:r/>
            <w:r>
              <w:rPr>
                <w:rFonts w:ascii="Calibri" w:hAnsi="Calibri"/>
                <w:color w:val="0F172A"/>
                <w:sz w:val="20"/>
              </w:rPr>
              <w:t>Employees (all)</w:t>
            </w:r>
          </w:p>
        </w:tc>
        <w:tc>
          <w:tcPr>
            <w:tcW w:type="dxa" w:w="1872"/>
            <w:vAlign w:val="center"/>
            <w:shd w:val="clear" w:color="auto" w:fill="F1F5F9"/>
          </w:tcPr>
          <w:p>
            <w:r/>
            <w:r>
              <w:rPr>
                <w:rFonts w:ascii="Calibri" w:hAnsi="Calibri"/>
                <w:color w:val="0F172A"/>
                <w:sz w:val="20"/>
              </w:rPr>
              <w:t>End Users</w:t>
            </w:r>
          </w:p>
        </w:tc>
        <w:tc>
          <w:tcPr>
            <w:tcW w:type="dxa" w:w="1152"/>
            <w:vAlign w:val="center"/>
            <w:shd w:val="clear" w:color="auto" w:fill="F1F5F9"/>
          </w:tcPr>
          <w:p>
            <w:r/>
            <w:r>
              <w:rPr>
                <w:rFonts w:ascii="Calibri" w:hAnsi="Calibri"/>
                <w:color w:val="0F172A"/>
                <w:sz w:val="20"/>
              </w:rPr>
              <w:t>Low</w:t>
            </w:r>
          </w:p>
        </w:tc>
        <w:tc>
          <w:tcPr>
            <w:tcW w:type="dxa" w:w="1152"/>
            <w:vAlign w:val="center"/>
            <w:shd w:val="clear" w:color="auto" w:fill="F1F5F9"/>
          </w:tcPr>
          <w:p>
            <w:r/>
            <w:r>
              <w:rPr>
                <w:rFonts w:ascii="Calibri" w:hAnsi="Calibri"/>
                <w:color w:val="0F172A"/>
                <w:sz w:val="20"/>
              </w:rPr>
              <w:t>High</w:t>
            </w:r>
          </w:p>
        </w:tc>
        <w:tc>
          <w:tcPr>
            <w:tcW w:type="dxa" w:w="2880"/>
            <w:vAlign w:val="center"/>
            <w:shd w:val="clear" w:color="auto" w:fill="F1F5F9"/>
          </w:tcPr>
          <w:p>
            <w:r/>
            <w:r>
              <w:rPr>
                <w:rFonts w:ascii="Calibri" w:hAnsi="Calibri"/>
                <w:color w:val="0F172A"/>
                <w:sz w:val="20"/>
              </w:rPr>
              <w:t>Onboarding sessions, in-app guides</w:t>
            </w:r>
          </w:p>
        </w:tc>
      </w:tr>
      <w:tr>
        <w:tc>
          <w:tcPr>
            <w:tcW w:type="dxa" w:w="2304"/>
            <w:vAlign w:val="center"/>
          </w:tcPr>
          <w:p>
            <w:r/>
            <w:r>
              <w:rPr>
                <w:rFonts w:ascii="Calibri" w:hAnsi="Calibri"/>
                <w:color w:val="0F172A"/>
                <w:sz w:val="20"/>
              </w:rPr>
              <w:t>Managers (all departments)</w:t>
            </w:r>
          </w:p>
        </w:tc>
        <w:tc>
          <w:tcPr>
            <w:tcW w:type="dxa" w:w="1872"/>
            <w:vAlign w:val="center"/>
          </w:tcPr>
          <w:p>
            <w:r/>
            <w:r>
              <w:rPr>
                <w:rFonts w:ascii="Calibri" w:hAnsi="Calibri"/>
                <w:color w:val="0F172A"/>
                <w:sz w:val="20"/>
              </w:rPr>
              <w:t>Approvers</w:t>
            </w:r>
          </w:p>
        </w:tc>
        <w:tc>
          <w:tcPr>
            <w:tcW w:type="dxa" w:w="1152"/>
            <w:vAlign w:val="center"/>
          </w:tcPr>
          <w:p>
            <w:r/>
            <w:r>
              <w:rPr>
                <w:rFonts w:ascii="Calibri" w:hAnsi="Calibri"/>
                <w:color w:val="0F172A"/>
                <w:sz w:val="20"/>
              </w:rPr>
              <w:t>Medium</w:t>
            </w:r>
          </w:p>
        </w:tc>
        <w:tc>
          <w:tcPr>
            <w:tcW w:type="dxa" w:w="1152"/>
            <w:vAlign w:val="center"/>
          </w:tcPr>
          <w:p>
            <w:r/>
            <w:r>
              <w:rPr>
                <w:rFonts w:ascii="Calibri" w:hAnsi="Calibri"/>
                <w:color w:val="0F172A"/>
                <w:sz w:val="20"/>
              </w:rPr>
              <w:t>High</w:t>
            </w:r>
          </w:p>
        </w:tc>
        <w:tc>
          <w:tcPr>
            <w:tcW w:type="dxa" w:w="2880"/>
            <w:vAlign w:val="center"/>
          </w:tcPr>
          <w:p>
            <w:r/>
            <w:r>
              <w:rPr>
                <w:rFonts w:ascii="Calibri" w:hAnsi="Calibri"/>
                <w:color w:val="0F172A"/>
                <w:sz w:val="20"/>
              </w:rPr>
              <w:t>Train-the-trainer model</w:t>
            </w:r>
          </w:p>
        </w:tc>
      </w:tr>
      <w:tr>
        <w:tc>
          <w:tcPr>
            <w:tcW w:type="dxa" w:w="2304"/>
            <w:vAlign w:val="center"/>
            <w:shd w:val="clear" w:color="auto" w:fill="F1F5F9"/>
          </w:tcPr>
          <w:p>
            <w:r/>
            <w:r>
              <w:rPr>
                <w:rFonts w:ascii="Calibri" w:hAnsi="Calibri"/>
                <w:color w:val="0F172A"/>
                <w:sz w:val="20"/>
              </w:rPr>
              <w:t>External Auditor</w:t>
            </w:r>
          </w:p>
        </w:tc>
        <w:tc>
          <w:tcPr>
            <w:tcW w:type="dxa" w:w="1872"/>
            <w:vAlign w:val="center"/>
            <w:shd w:val="clear" w:color="auto" w:fill="F1F5F9"/>
          </w:tcPr>
          <w:p>
            <w:r/>
            <w:r>
              <w:rPr>
                <w:rFonts w:ascii="Calibri" w:hAnsi="Calibri"/>
                <w:color w:val="0F172A"/>
                <w:sz w:val="20"/>
              </w:rPr>
              <w:t>Compliance Reviewer</w:t>
            </w:r>
          </w:p>
        </w:tc>
        <w:tc>
          <w:tcPr>
            <w:tcW w:type="dxa" w:w="1152"/>
            <w:vAlign w:val="center"/>
            <w:shd w:val="clear" w:color="auto" w:fill="F1F5F9"/>
          </w:tcPr>
          <w:p>
            <w:r/>
            <w:r>
              <w:rPr>
                <w:rFonts w:ascii="Calibri" w:hAnsi="Calibri"/>
                <w:color w:val="0F172A"/>
                <w:sz w:val="20"/>
              </w:rPr>
              <w:t>Medium</w:t>
            </w:r>
          </w:p>
        </w:tc>
        <w:tc>
          <w:tcPr>
            <w:tcW w:type="dxa" w:w="1152"/>
            <w:vAlign w:val="center"/>
            <w:shd w:val="clear" w:color="auto" w:fill="F1F5F9"/>
          </w:tcPr>
          <w:p>
            <w:r/>
            <w:r>
              <w:rPr>
                <w:rFonts w:ascii="Calibri" w:hAnsi="Calibri"/>
                <w:color w:val="0F172A"/>
                <w:sz w:val="20"/>
              </w:rPr>
              <w:t>Low</w:t>
            </w:r>
          </w:p>
        </w:tc>
        <w:tc>
          <w:tcPr>
            <w:tcW w:type="dxa" w:w="2880"/>
            <w:vAlign w:val="center"/>
            <w:shd w:val="clear" w:color="auto" w:fill="F1F5F9"/>
          </w:tcPr>
          <w:p>
            <w:r/>
            <w:r>
              <w:rPr>
                <w:rFonts w:ascii="Calibri" w:hAnsi="Calibri"/>
                <w:color w:val="0F172A"/>
                <w:sz w:val="20"/>
              </w:rPr>
              <w:t>Read-only access at audit time</w:t>
            </w:r>
          </w:p>
        </w:tc>
      </w:tr>
    </w:tbl>
    <w:p>
      <w:pPr>
        <w:spacing w:before="160" w:after="120"/>
      </w:pPr>
      <w:r>
        <w:rPr>
          <w:rFonts w:ascii="Calibri" w:hAnsi="Calibri"/>
          <w:b/>
          <w:color w:val="1E3A8A"/>
          <w:sz w:val="32"/>
        </w:rPr>
        <w:t>4.1 Detailed User Personas</w:t>
      </w:r>
    </w:p>
    <w:p>
      <w:pPr>
        <w:spacing w:after="80"/>
      </w:pPr>
      <w:r>
        <w:rPr>
          <w:rFonts w:ascii="Calibri" w:hAnsi="Calibri"/>
          <w:b/>
          <w:i w:val="0"/>
          <w:color w:val="1E3A8A"/>
          <w:sz w:val="24"/>
        </w:rPr>
        <w:t>Priya — HR Operations Lead</w:t>
      </w:r>
    </w:p>
    <w:p>
      <w:pPr>
        <w:spacing w:after="80"/>
      </w:pPr>
      <w:r>
        <w:rPr>
          <w:rFonts w:ascii="Calibri" w:hAnsi="Calibri"/>
          <w:b w:val="0"/>
          <w:i w:val="0"/>
          <w:color w:val="0F172A"/>
          <w:sz w:val="22"/>
        </w:rPr>
        <w:t>Role: Manages onboarding, leave approvals, policy enforcement, audit responses.</w:t>
      </w:r>
    </w:p>
    <w:p>
      <w:pPr>
        <w:spacing w:after="80"/>
      </w:pPr>
      <w:r>
        <w:rPr>
          <w:rFonts w:ascii="Calibri" w:hAnsi="Calibri"/>
          <w:b w:val="0"/>
          <w:i w:val="0"/>
          <w:color w:val="0F172A"/>
          <w:sz w:val="22"/>
        </w:rPr>
        <w:t>Pain Points: Manual data entry, chasing managers for approvals, reconciling spreadsheets, generating monthly reports.</w:t>
      </w:r>
    </w:p>
    <w:p>
      <w:pPr>
        <w:spacing w:after="80"/>
      </w:pPr>
      <w:r>
        <w:rPr>
          <w:rFonts w:ascii="Calibri" w:hAnsi="Calibri"/>
          <w:b w:val="0"/>
          <w:i w:val="0"/>
          <w:color w:val="0F172A"/>
          <w:sz w:val="22"/>
        </w:rPr>
        <w:t>Desired Outcome: A single dashboard with pending approvals, automated reminders, and one-click report exports.</w:t>
      </w:r>
    </w:p>
    <w:p>
      <w:pPr>
        <w:spacing w:after="80"/>
      </w:pPr>
      <w:r>
        <w:rPr>
          <w:rFonts w:ascii="Calibri" w:hAnsi="Calibri"/>
          <w:b w:val="0"/>
          <w:i w:val="0"/>
          <w:color w:val="0F172A"/>
          <w:sz w:val="22"/>
        </w:rPr>
      </w:r>
    </w:p>
    <w:p>
      <w:pPr>
        <w:spacing w:after="80"/>
      </w:pPr>
      <w:r>
        <w:rPr>
          <w:rFonts w:ascii="Calibri" w:hAnsi="Calibri"/>
          <w:b/>
          <w:i w:val="0"/>
          <w:color w:val="1E3A8A"/>
          <w:sz w:val="24"/>
        </w:rPr>
        <w:t>Daniel — Engineering Manager</w:t>
      </w:r>
    </w:p>
    <w:p>
      <w:pPr>
        <w:spacing w:after="80"/>
      </w:pPr>
      <w:r>
        <w:rPr>
          <w:rFonts w:ascii="Calibri" w:hAnsi="Calibri"/>
          <w:b w:val="0"/>
          <w:i w:val="0"/>
          <w:color w:val="0F172A"/>
          <w:sz w:val="22"/>
        </w:rPr>
        <w:t>Role: Approves time, leave, and ticket escalations for an engineering team of ~25.</w:t>
      </w:r>
    </w:p>
    <w:p>
      <w:pPr>
        <w:spacing w:after="80"/>
      </w:pPr>
      <w:r>
        <w:rPr>
          <w:rFonts w:ascii="Calibri" w:hAnsi="Calibri"/>
          <w:b w:val="0"/>
          <w:i w:val="0"/>
          <w:color w:val="0F172A"/>
          <w:sz w:val="22"/>
        </w:rPr>
        <w:t>Pain Points: Switching between tools, no real-time visibility into team capacity, approval requests buried in email.</w:t>
      </w:r>
    </w:p>
    <w:p>
      <w:pPr>
        <w:spacing w:after="80"/>
      </w:pPr>
      <w:r>
        <w:rPr>
          <w:rFonts w:ascii="Calibri" w:hAnsi="Calibri"/>
          <w:b w:val="0"/>
          <w:i w:val="0"/>
          <w:color w:val="0F172A"/>
          <w:sz w:val="22"/>
        </w:rPr>
        <w:t>Desired Outcome: Mobile-friendly approval queue, team capacity heatmap, project allocation visibility.</w:t>
      </w:r>
    </w:p>
    <w:p>
      <w:pPr>
        <w:spacing w:after="80"/>
      </w:pPr>
      <w:r>
        <w:rPr>
          <w:rFonts w:ascii="Calibri" w:hAnsi="Calibri"/>
          <w:b w:val="0"/>
          <w:i w:val="0"/>
          <w:color w:val="0F172A"/>
          <w:sz w:val="22"/>
        </w:rPr>
      </w:r>
    </w:p>
    <w:p>
      <w:pPr>
        <w:spacing w:after="80"/>
      </w:pPr>
      <w:r>
        <w:rPr>
          <w:rFonts w:ascii="Calibri" w:hAnsi="Calibri"/>
          <w:b/>
          <w:i w:val="0"/>
          <w:color w:val="1E3A8A"/>
          <w:sz w:val="24"/>
        </w:rPr>
        <w:t>Anita — Software Engineer</w:t>
      </w:r>
    </w:p>
    <w:p>
      <w:pPr>
        <w:spacing w:after="80"/>
      </w:pPr>
      <w:r>
        <w:rPr>
          <w:rFonts w:ascii="Calibri" w:hAnsi="Calibri"/>
          <w:b w:val="0"/>
          <w:i w:val="0"/>
          <w:color w:val="0F172A"/>
          <w:sz w:val="22"/>
        </w:rPr>
        <w:t>Role: Logs hours, requests leave, raises IT helpdesk tickets, downloads payslips.</w:t>
      </w:r>
    </w:p>
    <w:p>
      <w:pPr>
        <w:spacing w:after="80"/>
      </w:pPr>
      <w:r>
        <w:rPr>
          <w:rFonts w:ascii="Calibri" w:hAnsi="Calibri"/>
          <w:b w:val="0"/>
          <w:i w:val="0"/>
          <w:color w:val="0F172A"/>
          <w:sz w:val="22"/>
        </w:rPr>
        <w:t>Pain Points: Forgetting to log time, unclear leave balance, no visibility into ticket status.</w:t>
      </w:r>
    </w:p>
    <w:p>
      <w:pPr>
        <w:spacing w:after="80"/>
      </w:pPr>
      <w:r>
        <w:rPr>
          <w:rFonts w:ascii="Calibri" w:hAnsi="Calibri"/>
          <w:b w:val="0"/>
          <w:i w:val="0"/>
          <w:color w:val="0F172A"/>
          <w:sz w:val="22"/>
        </w:rPr>
        <w:t>Desired Outcome: Friction-free time entry, instant leave balance, ticket status notifications.</w:t>
      </w:r>
    </w:p>
    <w:p>
      <w:pPr>
        <w:spacing w:after="80"/>
      </w:pPr>
      <w:r>
        <w:rPr>
          <w:rFonts w:ascii="Calibri" w:hAnsi="Calibri"/>
          <w:b w:val="0"/>
          <w:i w:val="0"/>
          <w:color w:val="0F172A"/>
          <w:sz w:val="22"/>
        </w:rPr>
      </w:r>
    </w:p>
    <w:p>
      <w:pPr>
        <w:spacing w:after="80"/>
      </w:pPr>
      <w:r>
        <w:rPr>
          <w:rFonts w:ascii="Calibri" w:hAnsi="Calibri"/>
          <w:b/>
          <w:i w:val="0"/>
          <w:color w:val="1E3A8A"/>
          <w:sz w:val="24"/>
        </w:rPr>
        <w:t>Marcus — CFO</w:t>
      </w:r>
    </w:p>
    <w:p>
      <w:pPr>
        <w:spacing w:after="80"/>
      </w:pPr>
      <w:r>
        <w:rPr>
          <w:rFonts w:ascii="Calibri" w:hAnsi="Calibri"/>
          <w:b w:val="0"/>
          <w:i w:val="0"/>
          <w:color w:val="0F172A"/>
          <w:sz w:val="22"/>
        </w:rPr>
        <w:t>Role: Approves payroll, monitors workforce cost, reviews compliance posture.</w:t>
      </w:r>
    </w:p>
    <w:p>
      <w:pPr>
        <w:spacing w:after="80"/>
      </w:pPr>
      <w:r>
        <w:rPr>
          <w:rFonts w:ascii="Calibri" w:hAnsi="Calibri"/>
          <w:b w:val="0"/>
          <w:i w:val="0"/>
          <w:color w:val="0F172A"/>
          <w:sz w:val="22"/>
        </w:rPr>
        <w:t>Pain Points: Late or inconsistent reports, lack of trend visibility, manual reconciliation with payroll vendor.</w:t>
      </w:r>
    </w:p>
    <w:p>
      <w:pPr>
        <w:spacing w:after="80"/>
      </w:pPr>
      <w:r>
        <w:rPr>
          <w:rFonts w:ascii="Calibri" w:hAnsi="Calibri"/>
          <w:b w:val="0"/>
          <w:i w:val="0"/>
          <w:color w:val="0F172A"/>
          <w:sz w:val="22"/>
        </w:rPr>
        <w:t>Desired Outcome: Executive dashboard with cost-per-department, trend charts, exportable payroll registers.</w:t>
      </w:r>
    </w:p>
    <w:p>
      <w:pPr>
        <w:spacing w:after="80"/>
      </w:pPr>
      <w:r>
        <w:rPr>
          <w:rFonts w:ascii="Calibri" w:hAnsi="Calibri"/>
          <w:b w:val="0"/>
          <w:i w:val="0"/>
          <w:color w:val="0F172A"/>
          <w:sz w:val="22"/>
        </w:rPr>
      </w:r>
    </w:p>
    <w:p>
      <w:pPr>
        <w:spacing w:after="80"/>
      </w:pPr>
      <w:r>
        <w:rPr>
          <w:rFonts w:ascii="Calibri" w:hAnsi="Calibri"/>
          <w:b/>
          <w:i w:val="0"/>
          <w:color w:val="1E3A8A"/>
          <w:sz w:val="24"/>
        </w:rPr>
        <w:t>Sophia — IT Security Officer</w:t>
      </w:r>
    </w:p>
    <w:p>
      <w:pPr>
        <w:spacing w:after="80"/>
      </w:pPr>
      <w:r>
        <w:rPr>
          <w:rFonts w:ascii="Calibri" w:hAnsi="Calibri"/>
          <w:b w:val="0"/>
          <w:i w:val="0"/>
          <w:color w:val="0F172A"/>
          <w:sz w:val="22"/>
        </w:rPr>
        <w:t>Role: Owns access governance, data classification, audit response.</w:t>
      </w:r>
    </w:p>
    <w:p>
      <w:pPr>
        <w:spacing w:after="80"/>
      </w:pPr>
      <w:r>
        <w:rPr>
          <w:rFonts w:ascii="Calibri" w:hAnsi="Calibri"/>
          <w:b w:val="0"/>
          <w:i w:val="0"/>
          <w:color w:val="0F172A"/>
          <w:sz w:val="22"/>
        </w:rPr>
        <w:t>Pain Points: No central audit log, ambiguous role definitions, password sprawl.</w:t>
      </w:r>
    </w:p>
    <w:p>
      <w:pPr>
        <w:spacing w:after="80"/>
      </w:pPr>
      <w:r>
        <w:rPr>
          <w:rFonts w:ascii="Calibri" w:hAnsi="Calibri"/>
          <w:b w:val="0"/>
          <w:i w:val="0"/>
          <w:color w:val="0F172A"/>
          <w:sz w:val="22"/>
        </w:rPr>
        <w:t>Desired Outcome: Immutable audit trail, granular RBAC, SSO/2FA, encryption at rest and in transit.</w:t>
      </w:r>
    </w:p>
    <w:p>
      <w:pPr>
        <w:spacing w:after="80"/>
      </w:pPr>
      <w:r>
        <w:rPr>
          <w:rFonts w:ascii="Calibri" w:hAnsi="Calibri"/>
          <w:b w:val="0"/>
          <w:i w:val="0"/>
          <w:color w:val="0F172A"/>
          <w:sz w:val="22"/>
        </w:rPr>
      </w:r>
    </w:p>
    <w:p>
      <w:r>
        <w:br w:type="page"/>
      </w:r>
    </w:p>
    <w:p>
      <w:pPr>
        <w:spacing w:before="280" w:after="120"/>
        <w:pBdr>
          <w:bottom w:val="single" w:sz="8" w:color="1E3A8A"/>
        </w:pBdr>
      </w:pPr>
      <w:r>
        <w:rPr>
          <w:rFonts w:ascii="Calibri" w:hAnsi="Calibri"/>
          <w:b/>
          <w:color w:val="1E3A8A"/>
          <w:sz w:val="36"/>
        </w:rPr>
        <w:t>5. Business Goals &amp; Success Metrics</w:t>
      </w:r>
    </w:p>
    <w:p>
      <w:pPr>
        <w:spacing w:after="80"/>
      </w:pPr>
      <w:r>
        <w:rPr>
          <w:rFonts w:ascii="Calibri" w:hAnsi="Calibri"/>
          <w:b w:val="0"/>
          <w:i w:val="0"/>
          <w:color w:val="0F172A"/>
          <w:sz w:val="22"/>
        </w:rPr>
        <w:t>The following SMART business objectives have been agreed by the Perfect Solutions steering committee. Each objective is paired with a measurable Key Performance Indicator (KPI) and a target value to be achieved within two quarters of go-live (T+6 months).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864"/>
            <w:shd w:val="clear" w:color="auto" w:fill="1E3A8A"/>
            <w:vAlign w:val="center"/>
          </w:tcPr>
          <w:p>
            <w:r/>
            <w:r>
              <w:rPr>
                <w:rFonts w:ascii="Calibri" w:hAnsi="Calibri"/>
                <w:b/>
                <w:color w:val="FFFFFF"/>
                <w:sz w:val="21"/>
              </w:rPr>
              <w:t>#</w:t>
            </w:r>
          </w:p>
        </w:tc>
        <w:tc>
          <w:tcPr>
            <w:tcW w:type="dxa" w:w="2880"/>
            <w:shd w:val="clear" w:color="auto" w:fill="1E3A8A"/>
            <w:vAlign w:val="center"/>
          </w:tcPr>
          <w:p>
            <w:r/>
            <w:r>
              <w:rPr>
                <w:rFonts w:ascii="Calibri" w:hAnsi="Calibri"/>
                <w:b/>
                <w:color w:val="FFFFFF"/>
                <w:sz w:val="21"/>
              </w:rPr>
              <w:t>Business Goal</w:t>
            </w:r>
          </w:p>
        </w:tc>
        <w:tc>
          <w:tcPr>
            <w:tcW w:type="dxa" w:w="2448"/>
            <w:shd w:val="clear" w:color="auto" w:fill="1E3A8A"/>
            <w:vAlign w:val="center"/>
          </w:tcPr>
          <w:p>
            <w:r/>
            <w:r>
              <w:rPr>
                <w:rFonts w:ascii="Calibri" w:hAnsi="Calibri"/>
                <w:b/>
                <w:color w:val="FFFFFF"/>
                <w:sz w:val="21"/>
              </w:rPr>
              <w:t>KPI</w:t>
            </w:r>
          </w:p>
        </w:tc>
        <w:tc>
          <w:tcPr>
            <w:tcW w:type="dxa" w:w="1440"/>
            <w:shd w:val="clear" w:color="auto" w:fill="1E3A8A"/>
            <w:vAlign w:val="center"/>
          </w:tcPr>
          <w:p>
            <w:r/>
            <w:r>
              <w:rPr>
                <w:rFonts w:ascii="Calibri" w:hAnsi="Calibri"/>
                <w:b/>
                <w:color w:val="FFFFFF"/>
                <w:sz w:val="21"/>
              </w:rPr>
              <w:t>Baseline</w:t>
            </w:r>
          </w:p>
        </w:tc>
        <w:tc>
          <w:tcPr>
            <w:tcW w:type="dxa" w:w="1728"/>
            <w:shd w:val="clear" w:color="auto" w:fill="1E3A8A"/>
            <w:vAlign w:val="center"/>
          </w:tcPr>
          <w:p>
            <w:r/>
            <w:r>
              <w:rPr>
                <w:rFonts w:ascii="Calibri" w:hAnsi="Calibri"/>
                <w:b/>
                <w:color w:val="FFFFFF"/>
                <w:sz w:val="21"/>
              </w:rPr>
              <w:t>Target (T+6m)</w:t>
            </w:r>
          </w:p>
        </w:tc>
      </w:tr>
      <w:tr>
        <w:tc>
          <w:tcPr>
            <w:tcW w:type="dxa" w:w="864"/>
            <w:vAlign w:val="center"/>
            <w:shd w:val="clear" w:color="auto" w:fill="F1F5F9"/>
          </w:tcPr>
          <w:p>
            <w:r/>
            <w:r>
              <w:rPr>
                <w:rFonts w:ascii="Calibri" w:hAnsi="Calibri"/>
                <w:color w:val="0F172A"/>
                <w:sz w:val="20"/>
              </w:rPr>
              <w:t>BG-01</w:t>
            </w:r>
          </w:p>
        </w:tc>
        <w:tc>
          <w:tcPr>
            <w:tcW w:type="dxa" w:w="2880"/>
            <w:vAlign w:val="center"/>
            <w:shd w:val="clear" w:color="auto" w:fill="F1F5F9"/>
          </w:tcPr>
          <w:p>
            <w:r/>
            <w:r>
              <w:rPr>
                <w:rFonts w:ascii="Calibri" w:hAnsi="Calibri"/>
                <w:color w:val="0F172A"/>
                <w:sz w:val="20"/>
              </w:rPr>
              <w:t>Centralize all HR data into a single platform</w:t>
            </w:r>
          </w:p>
        </w:tc>
        <w:tc>
          <w:tcPr>
            <w:tcW w:type="dxa" w:w="2448"/>
            <w:vAlign w:val="center"/>
            <w:shd w:val="clear" w:color="auto" w:fill="F1F5F9"/>
          </w:tcPr>
          <w:p>
            <w:r/>
            <w:r>
              <w:rPr>
                <w:rFonts w:ascii="Calibri" w:hAnsi="Calibri"/>
                <w:color w:val="0F172A"/>
                <w:sz w:val="20"/>
              </w:rPr>
              <w:t>% of HR processes on AurborBloom</w:t>
            </w:r>
          </w:p>
        </w:tc>
        <w:tc>
          <w:tcPr>
            <w:tcW w:type="dxa" w:w="1440"/>
            <w:vAlign w:val="center"/>
            <w:shd w:val="clear" w:color="auto" w:fill="F1F5F9"/>
          </w:tcPr>
          <w:p>
            <w:r/>
            <w:r>
              <w:rPr>
                <w:rFonts w:ascii="Calibri" w:hAnsi="Calibri"/>
                <w:color w:val="0F172A"/>
                <w:sz w:val="20"/>
              </w:rPr>
              <w:t>0%</w:t>
            </w:r>
          </w:p>
        </w:tc>
        <w:tc>
          <w:tcPr>
            <w:tcW w:type="dxa" w:w="1728"/>
            <w:vAlign w:val="center"/>
            <w:shd w:val="clear" w:color="auto" w:fill="F1F5F9"/>
          </w:tcPr>
          <w:p>
            <w:r/>
            <w:r>
              <w:rPr>
                <w:rFonts w:ascii="Calibri" w:hAnsi="Calibri"/>
                <w:color w:val="0F172A"/>
                <w:sz w:val="20"/>
              </w:rPr>
              <w:t>≥ 95%</w:t>
            </w:r>
          </w:p>
        </w:tc>
      </w:tr>
      <w:tr>
        <w:tc>
          <w:tcPr>
            <w:tcW w:type="dxa" w:w="864"/>
            <w:vAlign w:val="center"/>
          </w:tcPr>
          <w:p>
            <w:r/>
            <w:r>
              <w:rPr>
                <w:rFonts w:ascii="Calibri" w:hAnsi="Calibri"/>
                <w:color w:val="0F172A"/>
                <w:sz w:val="20"/>
              </w:rPr>
              <w:t>BG-02</w:t>
            </w:r>
          </w:p>
        </w:tc>
        <w:tc>
          <w:tcPr>
            <w:tcW w:type="dxa" w:w="2880"/>
            <w:vAlign w:val="center"/>
          </w:tcPr>
          <w:p>
            <w:r/>
            <w:r>
              <w:rPr>
                <w:rFonts w:ascii="Calibri" w:hAnsi="Calibri"/>
                <w:color w:val="0F172A"/>
                <w:sz w:val="20"/>
              </w:rPr>
              <w:t>Automate attendance and timesheet capture</w:t>
            </w:r>
          </w:p>
        </w:tc>
        <w:tc>
          <w:tcPr>
            <w:tcW w:type="dxa" w:w="2448"/>
            <w:vAlign w:val="center"/>
          </w:tcPr>
          <w:p>
            <w:r/>
            <w:r>
              <w:rPr>
                <w:rFonts w:ascii="Calibri" w:hAnsi="Calibri"/>
                <w:color w:val="0F172A"/>
                <w:sz w:val="20"/>
              </w:rPr>
              <w:t>Manual time-entry corrections / month</w:t>
            </w:r>
          </w:p>
        </w:tc>
        <w:tc>
          <w:tcPr>
            <w:tcW w:type="dxa" w:w="1440"/>
            <w:vAlign w:val="center"/>
          </w:tcPr>
          <w:p>
            <w:r/>
            <w:r>
              <w:rPr>
                <w:rFonts w:ascii="Calibri" w:hAnsi="Calibri"/>
                <w:color w:val="0F172A"/>
                <w:sz w:val="20"/>
              </w:rPr>
              <w:t>~120</w:t>
            </w:r>
          </w:p>
        </w:tc>
        <w:tc>
          <w:tcPr>
            <w:tcW w:type="dxa" w:w="1728"/>
            <w:vAlign w:val="center"/>
          </w:tcPr>
          <w:p>
            <w:r/>
            <w:r>
              <w:rPr>
                <w:rFonts w:ascii="Calibri" w:hAnsi="Calibri"/>
                <w:color w:val="0F172A"/>
                <w:sz w:val="20"/>
              </w:rPr>
              <w:t>&lt; 15</w:t>
            </w:r>
          </w:p>
        </w:tc>
      </w:tr>
      <w:tr>
        <w:tc>
          <w:tcPr>
            <w:tcW w:type="dxa" w:w="864"/>
            <w:vAlign w:val="center"/>
            <w:shd w:val="clear" w:color="auto" w:fill="F1F5F9"/>
          </w:tcPr>
          <w:p>
            <w:r/>
            <w:r>
              <w:rPr>
                <w:rFonts w:ascii="Calibri" w:hAnsi="Calibri"/>
                <w:color w:val="0F172A"/>
                <w:sz w:val="20"/>
              </w:rPr>
              <w:t>BG-03</w:t>
            </w:r>
          </w:p>
        </w:tc>
        <w:tc>
          <w:tcPr>
            <w:tcW w:type="dxa" w:w="2880"/>
            <w:vAlign w:val="center"/>
            <w:shd w:val="clear" w:color="auto" w:fill="F1F5F9"/>
          </w:tcPr>
          <w:p>
            <w:r/>
            <w:r>
              <w:rPr>
                <w:rFonts w:ascii="Calibri" w:hAnsi="Calibri"/>
                <w:color w:val="0F172A"/>
                <w:sz w:val="20"/>
              </w:rPr>
              <w:t>Reduce leave processing cycle time</w:t>
            </w:r>
          </w:p>
        </w:tc>
        <w:tc>
          <w:tcPr>
            <w:tcW w:type="dxa" w:w="2448"/>
            <w:vAlign w:val="center"/>
            <w:shd w:val="clear" w:color="auto" w:fill="F1F5F9"/>
          </w:tcPr>
          <w:p>
            <w:r/>
            <w:r>
              <w:rPr>
                <w:rFonts w:ascii="Calibri" w:hAnsi="Calibri"/>
                <w:color w:val="0F172A"/>
                <w:sz w:val="20"/>
              </w:rPr>
              <w:t>Avg. days from request to decision</w:t>
            </w:r>
          </w:p>
        </w:tc>
        <w:tc>
          <w:tcPr>
            <w:tcW w:type="dxa" w:w="1440"/>
            <w:vAlign w:val="center"/>
            <w:shd w:val="clear" w:color="auto" w:fill="F1F5F9"/>
          </w:tcPr>
          <w:p>
            <w:r/>
            <w:r>
              <w:rPr>
                <w:rFonts w:ascii="Calibri" w:hAnsi="Calibri"/>
                <w:color w:val="0F172A"/>
                <w:sz w:val="20"/>
              </w:rPr>
              <w:t>3.2 days</w:t>
            </w:r>
          </w:p>
        </w:tc>
        <w:tc>
          <w:tcPr>
            <w:tcW w:type="dxa" w:w="1728"/>
            <w:vAlign w:val="center"/>
            <w:shd w:val="clear" w:color="auto" w:fill="F1F5F9"/>
          </w:tcPr>
          <w:p>
            <w:r/>
            <w:r>
              <w:rPr>
                <w:rFonts w:ascii="Calibri" w:hAnsi="Calibri"/>
                <w:color w:val="0F172A"/>
                <w:sz w:val="20"/>
              </w:rPr>
              <w:t>&lt; 1 day</w:t>
            </w:r>
          </w:p>
        </w:tc>
      </w:tr>
      <w:tr>
        <w:tc>
          <w:tcPr>
            <w:tcW w:type="dxa" w:w="864"/>
            <w:vAlign w:val="center"/>
          </w:tcPr>
          <w:p>
            <w:r/>
            <w:r>
              <w:rPr>
                <w:rFonts w:ascii="Calibri" w:hAnsi="Calibri"/>
                <w:color w:val="0F172A"/>
                <w:sz w:val="20"/>
              </w:rPr>
              <w:t>BG-04</w:t>
            </w:r>
          </w:p>
        </w:tc>
        <w:tc>
          <w:tcPr>
            <w:tcW w:type="dxa" w:w="2880"/>
            <w:vAlign w:val="center"/>
          </w:tcPr>
          <w:p>
            <w:r/>
            <w:r>
              <w:rPr>
                <w:rFonts w:ascii="Calibri" w:hAnsi="Calibri"/>
                <w:color w:val="0F172A"/>
                <w:sz w:val="20"/>
              </w:rPr>
              <w:t>Improve internal support responsiveness</w:t>
            </w:r>
          </w:p>
        </w:tc>
        <w:tc>
          <w:tcPr>
            <w:tcW w:type="dxa" w:w="2448"/>
            <w:vAlign w:val="center"/>
          </w:tcPr>
          <w:p>
            <w:r/>
            <w:r>
              <w:rPr>
                <w:rFonts w:ascii="Calibri" w:hAnsi="Calibri"/>
                <w:color w:val="0F172A"/>
                <w:sz w:val="20"/>
              </w:rPr>
              <w:t>Avg. ticket first-response time</w:t>
            </w:r>
          </w:p>
        </w:tc>
        <w:tc>
          <w:tcPr>
            <w:tcW w:type="dxa" w:w="1440"/>
            <w:vAlign w:val="center"/>
          </w:tcPr>
          <w:p>
            <w:r/>
            <w:r>
              <w:rPr>
                <w:rFonts w:ascii="Calibri" w:hAnsi="Calibri"/>
                <w:color w:val="0F172A"/>
                <w:sz w:val="20"/>
              </w:rPr>
              <w:t>8 hours</w:t>
            </w:r>
          </w:p>
        </w:tc>
        <w:tc>
          <w:tcPr>
            <w:tcW w:type="dxa" w:w="1728"/>
            <w:vAlign w:val="center"/>
          </w:tcPr>
          <w:p>
            <w:r/>
            <w:r>
              <w:rPr>
                <w:rFonts w:ascii="Calibri" w:hAnsi="Calibri"/>
                <w:color w:val="0F172A"/>
                <w:sz w:val="20"/>
              </w:rPr>
              <w:t>&lt; 2 hours</w:t>
            </w:r>
          </w:p>
        </w:tc>
      </w:tr>
      <w:tr>
        <w:tc>
          <w:tcPr>
            <w:tcW w:type="dxa" w:w="864"/>
            <w:vAlign w:val="center"/>
            <w:shd w:val="clear" w:color="auto" w:fill="F1F5F9"/>
          </w:tcPr>
          <w:p>
            <w:r/>
            <w:r>
              <w:rPr>
                <w:rFonts w:ascii="Calibri" w:hAnsi="Calibri"/>
                <w:color w:val="0F172A"/>
                <w:sz w:val="20"/>
              </w:rPr>
              <w:t>BG-05</w:t>
            </w:r>
          </w:p>
        </w:tc>
        <w:tc>
          <w:tcPr>
            <w:tcW w:type="dxa" w:w="2880"/>
            <w:vAlign w:val="center"/>
            <w:shd w:val="clear" w:color="auto" w:fill="F1F5F9"/>
          </w:tcPr>
          <w:p>
            <w:r/>
            <w:r>
              <w:rPr>
                <w:rFonts w:ascii="Calibri" w:hAnsi="Calibri"/>
                <w:color w:val="0F172A"/>
                <w:sz w:val="20"/>
              </w:rPr>
              <w:t>Increase employee self-service adoption</w:t>
            </w:r>
          </w:p>
        </w:tc>
        <w:tc>
          <w:tcPr>
            <w:tcW w:type="dxa" w:w="2448"/>
            <w:vAlign w:val="center"/>
            <w:shd w:val="clear" w:color="auto" w:fill="F1F5F9"/>
          </w:tcPr>
          <w:p>
            <w:r/>
            <w:r>
              <w:rPr>
                <w:rFonts w:ascii="Calibri" w:hAnsi="Calibri"/>
                <w:color w:val="0F172A"/>
                <w:sz w:val="20"/>
              </w:rPr>
              <w:t>% of leave/timesheet actions performed by employees themselves</w:t>
            </w:r>
          </w:p>
        </w:tc>
        <w:tc>
          <w:tcPr>
            <w:tcW w:type="dxa" w:w="1440"/>
            <w:vAlign w:val="center"/>
            <w:shd w:val="clear" w:color="auto" w:fill="F1F5F9"/>
          </w:tcPr>
          <w:p>
            <w:r/>
            <w:r>
              <w:rPr>
                <w:rFonts w:ascii="Calibri" w:hAnsi="Calibri"/>
                <w:color w:val="0F172A"/>
                <w:sz w:val="20"/>
              </w:rPr>
              <w:t>30%</w:t>
            </w:r>
          </w:p>
        </w:tc>
        <w:tc>
          <w:tcPr>
            <w:tcW w:type="dxa" w:w="1728"/>
            <w:vAlign w:val="center"/>
            <w:shd w:val="clear" w:color="auto" w:fill="F1F5F9"/>
          </w:tcPr>
          <w:p>
            <w:r/>
            <w:r>
              <w:rPr>
                <w:rFonts w:ascii="Calibri" w:hAnsi="Calibri"/>
                <w:color w:val="0F172A"/>
                <w:sz w:val="20"/>
              </w:rPr>
              <w:t>≥ 90%</w:t>
            </w:r>
          </w:p>
        </w:tc>
      </w:tr>
      <w:tr>
        <w:tc>
          <w:tcPr>
            <w:tcW w:type="dxa" w:w="864"/>
            <w:vAlign w:val="center"/>
          </w:tcPr>
          <w:p>
            <w:r/>
            <w:r>
              <w:rPr>
                <w:rFonts w:ascii="Calibri" w:hAnsi="Calibri"/>
                <w:color w:val="0F172A"/>
                <w:sz w:val="20"/>
              </w:rPr>
              <w:t>BG-06</w:t>
            </w:r>
          </w:p>
        </w:tc>
        <w:tc>
          <w:tcPr>
            <w:tcW w:type="dxa" w:w="2880"/>
            <w:vAlign w:val="center"/>
          </w:tcPr>
          <w:p>
            <w:r/>
            <w:r>
              <w:rPr>
                <w:rFonts w:ascii="Calibri" w:hAnsi="Calibri"/>
                <w:color w:val="0F172A"/>
                <w:sz w:val="20"/>
              </w:rPr>
              <w:t>Ensure audit-ready records</w:t>
            </w:r>
          </w:p>
        </w:tc>
        <w:tc>
          <w:tcPr>
            <w:tcW w:type="dxa" w:w="2448"/>
            <w:vAlign w:val="center"/>
          </w:tcPr>
          <w:p>
            <w:r/>
            <w:r>
              <w:rPr>
                <w:rFonts w:ascii="Calibri" w:hAnsi="Calibri"/>
                <w:color w:val="0F172A"/>
                <w:sz w:val="20"/>
              </w:rPr>
              <w:t>Audit findings related to HR data</w:t>
            </w:r>
          </w:p>
        </w:tc>
        <w:tc>
          <w:tcPr>
            <w:tcW w:type="dxa" w:w="1440"/>
            <w:vAlign w:val="center"/>
          </w:tcPr>
          <w:p>
            <w:r/>
            <w:r>
              <w:rPr>
                <w:rFonts w:ascii="Calibri" w:hAnsi="Calibri"/>
                <w:color w:val="0F172A"/>
                <w:sz w:val="20"/>
              </w:rPr>
              <w:t>—</w:t>
            </w:r>
          </w:p>
        </w:tc>
        <w:tc>
          <w:tcPr>
            <w:tcW w:type="dxa" w:w="1728"/>
            <w:vAlign w:val="center"/>
          </w:tcPr>
          <w:p>
            <w:r/>
            <w:r>
              <w:rPr>
                <w:rFonts w:ascii="Calibri" w:hAnsi="Calibri"/>
                <w:color w:val="0F172A"/>
                <w:sz w:val="20"/>
              </w:rPr>
              <w:t>Zero material findings</w:t>
            </w:r>
          </w:p>
        </w:tc>
      </w:tr>
      <w:tr>
        <w:tc>
          <w:tcPr>
            <w:tcW w:type="dxa" w:w="864"/>
            <w:vAlign w:val="center"/>
            <w:shd w:val="clear" w:color="auto" w:fill="F1F5F9"/>
          </w:tcPr>
          <w:p>
            <w:r/>
            <w:r>
              <w:rPr>
                <w:rFonts w:ascii="Calibri" w:hAnsi="Calibri"/>
                <w:color w:val="0F172A"/>
                <w:sz w:val="20"/>
              </w:rPr>
              <w:t>BG-07</w:t>
            </w:r>
          </w:p>
        </w:tc>
        <w:tc>
          <w:tcPr>
            <w:tcW w:type="dxa" w:w="2880"/>
            <w:vAlign w:val="center"/>
            <w:shd w:val="clear" w:color="auto" w:fill="F1F5F9"/>
          </w:tcPr>
          <w:p>
            <w:r/>
            <w:r>
              <w:rPr>
                <w:rFonts w:ascii="Calibri" w:hAnsi="Calibri"/>
                <w:color w:val="0F172A"/>
                <w:sz w:val="20"/>
              </w:rPr>
              <w:t>Strengthen brand experience</w:t>
            </w:r>
          </w:p>
        </w:tc>
        <w:tc>
          <w:tcPr>
            <w:tcW w:type="dxa" w:w="2448"/>
            <w:vAlign w:val="center"/>
            <w:shd w:val="clear" w:color="auto" w:fill="F1F5F9"/>
          </w:tcPr>
          <w:p>
            <w:r/>
            <w:r>
              <w:rPr>
                <w:rFonts w:ascii="Calibri" w:hAnsi="Calibri"/>
                <w:color w:val="0F172A"/>
                <w:sz w:val="20"/>
              </w:rPr>
              <w:t>Employee NPS for HR tools</w:t>
            </w:r>
          </w:p>
        </w:tc>
        <w:tc>
          <w:tcPr>
            <w:tcW w:type="dxa" w:w="1440"/>
            <w:vAlign w:val="center"/>
            <w:shd w:val="clear" w:color="auto" w:fill="F1F5F9"/>
          </w:tcPr>
          <w:p>
            <w:r/>
            <w:r>
              <w:rPr>
                <w:rFonts w:ascii="Calibri" w:hAnsi="Calibri"/>
                <w:color w:val="0F172A"/>
                <w:sz w:val="20"/>
              </w:rPr>
              <w:t>+12</w:t>
            </w:r>
          </w:p>
        </w:tc>
        <w:tc>
          <w:tcPr>
            <w:tcW w:type="dxa" w:w="1728"/>
            <w:vAlign w:val="center"/>
            <w:shd w:val="clear" w:color="auto" w:fill="F1F5F9"/>
          </w:tcPr>
          <w:p>
            <w:r/>
            <w:r>
              <w:rPr>
                <w:rFonts w:ascii="Calibri" w:hAnsi="Calibri"/>
                <w:color w:val="0F172A"/>
                <w:sz w:val="20"/>
              </w:rPr>
              <w:t>≥ +45</w:t>
            </w:r>
          </w:p>
        </w:tc>
      </w:tr>
      <w:tr>
        <w:tc>
          <w:tcPr>
            <w:tcW w:type="dxa" w:w="864"/>
            <w:vAlign w:val="center"/>
          </w:tcPr>
          <w:p>
            <w:r/>
            <w:r>
              <w:rPr>
                <w:rFonts w:ascii="Calibri" w:hAnsi="Calibri"/>
                <w:color w:val="0F172A"/>
                <w:sz w:val="20"/>
              </w:rPr>
              <w:t>BG-08</w:t>
            </w:r>
          </w:p>
        </w:tc>
        <w:tc>
          <w:tcPr>
            <w:tcW w:type="dxa" w:w="2880"/>
            <w:vAlign w:val="center"/>
          </w:tcPr>
          <w:p>
            <w:r/>
            <w:r>
              <w:rPr>
                <w:rFonts w:ascii="Calibri" w:hAnsi="Calibri"/>
                <w:color w:val="0F172A"/>
                <w:sz w:val="20"/>
              </w:rPr>
              <w:t>Reduce HR operational cost</w:t>
            </w:r>
          </w:p>
        </w:tc>
        <w:tc>
          <w:tcPr>
            <w:tcW w:type="dxa" w:w="2448"/>
            <w:vAlign w:val="center"/>
          </w:tcPr>
          <w:p>
            <w:r/>
            <w:r>
              <w:rPr>
                <w:rFonts w:ascii="Calibri" w:hAnsi="Calibri"/>
                <w:color w:val="0F172A"/>
                <w:sz w:val="20"/>
              </w:rPr>
              <w:t>HR admin hours / 100 employees / month</w:t>
            </w:r>
          </w:p>
        </w:tc>
        <w:tc>
          <w:tcPr>
            <w:tcW w:type="dxa" w:w="1440"/>
            <w:vAlign w:val="center"/>
          </w:tcPr>
          <w:p>
            <w:r/>
            <w:r>
              <w:rPr>
                <w:rFonts w:ascii="Calibri" w:hAnsi="Calibri"/>
                <w:color w:val="0F172A"/>
                <w:sz w:val="20"/>
              </w:rPr>
              <w:t>180</w:t>
            </w:r>
          </w:p>
        </w:tc>
        <w:tc>
          <w:tcPr>
            <w:tcW w:type="dxa" w:w="1728"/>
            <w:vAlign w:val="center"/>
          </w:tcPr>
          <w:p>
            <w:r/>
            <w:r>
              <w:rPr>
                <w:rFonts w:ascii="Calibri" w:hAnsi="Calibri"/>
                <w:color w:val="0F172A"/>
                <w:sz w:val="20"/>
              </w:rPr>
              <w:t>≤ 70</w:t>
            </w:r>
          </w:p>
        </w:tc>
      </w:tr>
      <w:tr>
        <w:tc>
          <w:tcPr>
            <w:tcW w:type="dxa" w:w="864"/>
            <w:vAlign w:val="center"/>
            <w:shd w:val="clear" w:color="auto" w:fill="F1F5F9"/>
          </w:tcPr>
          <w:p>
            <w:r/>
            <w:r>
              <w:rPr>
                <w:rFonts w:ascii="Calibri" w:hAnsi="Calibri"/>
                <w:color w:val="0F172A"/>
                <w:sz w:val="20"/>
              </w:rPr>
              <w:t>BG-09</w:t>
            </w:r>
          </w:p>
        </w:tc>
        <w:tc>
          <w:tcPr>
            <w:tcW w:type="dxa" w:w="2880"/>
            <w:vAlign w:val="center"/>
            <w:shd w:val="clear" w:color="auto" w:fill="F1F5F9"/>
          </w:tcPr>
          <w:p>
            <w:r/>
            <w:r>
              <w:rPr>
                <w:rFonts w:ascii="Calibri" w:hAnsi="Calibri"/>
                <w:color w:val="0F172A"/>
                <w:sz w:val="20"/>
              </w:rPr>
              <w:t>Achieve enterprise-grade availability</w:t>
            </w:r>
          </w:p>
        </w:tc>
        <w:tc>
          <w:tcPr>
            <w:tcW w:type="dxa" w:w="2448"/>
            <w:vAlign w:val="center"/>
            <w:shd w:val="clear" w:color="auto" w:fill="F1F5F9"/>
          </w:tcPr>
          <w:p>
            <w:r/>
            <w:r>
              <w:rPr>
                <w:rFonts w:ascii="Calibri" w:hAnsi="Calibri"/>
                <w:color w:val="0F172A"/>
                <w:sz w:val="20"/>
              </w:rPr>
              <w:t>Platform uptime (rolling 30 days)</w:t>
            </w:r>
          </w:p>
        </w:tc>
        <w:tc>
          <w:tcPr>
            <w:tcW w:type="dxa" w:w="1440"/>
            <w:vAlign w:val="center"/>
            <w:shd w:val="clear" w:color="auto" w:fill="F1F5F9"/>
          </w:tcPr>
          <w:p>
            <w:r/>
            <w:r>
              <w:rPr>
                <w:rFonts w:ascii="Calibri" w:hAnsi="Calibri"/>
                <w:color w:val="0F172A"/>
                <w:sz w:val="20"/>
              </w:rPr>
              <w:t>—</w:t>
            </w:r>
          </w:p>
        </w:tc>
        <w:tc>
          <w:tcPr>
            <w:tcW w:type="dxa" w:w="1728"/>
            <w:vAlign w:val="center"/>
            <w:shd w:val="clear" w:color="auto" w:fill="F1F5F9"/>
          </w:tcPr>
          <w:p>
            <w:r/>
            <w:r>
              <w:rPr>
                <w:rFonts w:ascii="Calibri" w:hAnsi="Calibri"/>
                <w:color w:val="0F172A"/>
                <w:sz w:val="20"/>
              </w:rPr>
              <w:t>≥ 99.9%</w:t>
            </w:r>
          </w:p>
        </w:tc>
      </w:tr>
      <w:tr>
        <w:tc>
          <w:tcPr>
            <w:tcW w:type="dxa" w:w="864"/>
            <w:vAlign w:val="center"/>
          </w:tcPr>
          <w:p>
            <w:r/>
            <w:r>
              <w:rPr>
                <w:rFonts w:ascii="Calibri" w:hAnsi="Calibri"/>
                <w:color w:val="0F172A"/>
                <w:sz w:val="20"/>
              </w:rPr>
              <w:t>BG-10</w:t>
            </w:r>
          </w:p>
        </w:tc>
        <w:tc>
          <w:tcPr>
            <w:tcW w:type="dxa" w:w="2880"/>
            <w:vAlign w:val="center"/>
          </w:tcPr>
          <w:p>
            <w:r/>
            <w:r>
              <w:rPr>
                <w:rFonts w:ascii="Calibri" w:hAnsi="Calibri"/>
                <w:color w:val="0F172A"/>
                <w:sz w:val="20"/>
              </w:rPr>
              <w:t>Enable data-driven workforce planning</w:t>
            </w:r>
          </w:p>
        </w:tc>
        <w:tc>
          <w:tcPr>
            <w:tcW w:type="dxa" w:w="2448"/>
            <w:vAlign w:val="center"/>
          </w:tcPr>
          <w:p>
            <w:r/>
            <w:r>
              <w:rPr>
                <w:rFonts w:ascii="Calibri" w:hAnsi="Calibri"/>
                <w:color w:val="0F172A"/>
                <w:sz w:val="20"/>
              </w:rPr>
              <w:t>Adoption of analytics dashboards by managers</w:t>
            </w:r>
          </w:p>
        </w:tc>
        <w:tc>
          <w:tcPr>
            <w:tcW w:type="dxa" w:w="1440"/>
            <w:vAlign w:val="center"/>
          </w:tcPr>
          <w:p>
            <w:r/>
            <w:r>
              <w:rPr>
                <w:rFonts w:ascii="Calibri" w:hAnsi="Calibri"/>
                <w:color w:val="0F172A"/>
                <w:sz w:val="20"/>
              </w:rPr>
              <w:t>—</w:t>
            </w:r>
          </w:p>
        </w:tc>
        <w:tc>
          <w:tcPr>
            <w:tcW w:type="dxa" w:w="1728"/>
            <w:vAlign w:val="center"/>
          </w:tcPr>
          <w:p>
            <w:r/>
            <w:r>
              <w:rPr>
                <w:rFonts w:ascii="Calibri" w:hAnsi="Calibri"/>
                <w:color w:val="0F172A"/>
                <w:sz w:val="20"/>
              </w:rPr>
              <w:t>≥ 80% MAU</w:t>
            </w:r>
          </w:p>
        </w:tc>
      </w:tr>
    </w:tbl>
    <w:p>
      <w:r>
        <w:br w:type="page"/>
      </w:r>
    </w:p>
    <w:p>
      <w:pPr>
        <w:spacing w:before="280" w:after="120"/>
        <w:pBdr>
          <w:bottom w:val="single" w:sz="8" w:color="1E3A8A"/>
        </w:pBdr>
      </w:pPr>
      <w:r>
        <w:rPr>
          <w:rFonts w:ascii="Calibri" w:hAnsi="Calibri"/>
          <w:b/>
          <w:color w:val="1E3A8A"/>
          <w:sz w:val="36"/>
        </w:rPr>
        <w:t>6. Scope of the Engagement</w:t>
      </w:r>
    </w:p>
    <w:p>
      <w:pPr>
        <w:spacing w:before="160" w:after="120"/>
      </w:pPr>
      <w:r>
        <w:rPr>
          <w:rFonts w:ascii="Calibri" w:hAnsi="Calibri"/>
          <w:b/>
          <w:color w:val="1E3A8A"/>
          <w:sz w:val="32"/>
        </w:rPr>
        <w:t>6.1 In Scope</w:t>
      </w:r>
    </w:p>
    <w:p>
      <w:pPr>
        <w:pStyle w:val="ListBullet"/>
        <w:spacing w:after="40"/>
      </w:pPr>
      <w:r>
        <w:rPr>
          <w:color w:val="0F172A"/>
          <w:sz w:val="22"/>
        </w:rPr>
        <w:t>Multi-tenant deployment of AurborBloom HRMS for the perfectsolutions tenant.</w:t>
      </w:r>
    </w:p>
    <w:p>
      <w:pPr>
        <w:pStyle w:val="ListBullet"/>
        <w:spacing w:after="40"/>
      </w:pPr>
      <w:r>
        <w:rPr>
          <w:color w:val="0F172A"/>
          <w:sz w:val="22"/>
        </w:rPr>
        <w:t>White-label branding: logo, primary/secondary colors, custom domain (hr.perfectsolutions.com), email sender identity, browser tab title.</w:t>
      </w:r>
    </w:p>
    <w:p>
      <w:pPr>
        <w:pStyle w:val="ListBullet"/>
        <w:spacing w:after="40"/>
      </w:pPr>
      <w:r>
        <w:rPr>
          <w:color w:val="0F172A"/>
          <w:sz w:val="22"/>
        </w:rPr>
        <w:t>Modules: Authentication &amp; RBAC, Employee Directory, Time &amp; Attendance, Leave Management, Tickets / Helpdesk, Calendar &amp; Scheduling, Projects &amp; Tasks, Document Vault, Performance Reviews, Reports &amp; Analytics, In-app Chat.</w:t>
      </w:r>
    </w:p>
    <w:p>
      <w:pPr>
        <w:pStyle w:val="ListBullet"/>
        <w:spacing w:after="40"/>
      </w:pPr>
      <w:r>
        <w:rPr>
          <w:color w:val="0F172A"/>
          <w:sz w:val="22"/>
        </w:rPr>
        <w:t>Department configuration: General, Engineering, HR, Sales, Marketing, Finance.</w:t>
      </w:r>
    </w:p>
    <w:p>
      <w:pPr>
        <w:pStyle w:val="ListBullet"/>
        <w:spacing w:after="40"/>
      </w:pPr>
      <w:r>
        <w:rPr>
          <w:color w:val="0F172A"/>
          <w:sz w:val="22"/>
        </w:rPr>
        <w:t>Leave types configured: Vacation, Sick, Personal, Unpaid.</w:t>
      </w:r>
    </w:p>
    <w:p>
      <w:pPr>
        <w:pStyle w:val="ListBullet"/>
        <w:spacing w:after="40"/>
      </w:pPr>
      <w:r>
        <w:rPr>
          <w:color w:val="0F172A"/>
          <w:sz w:val="22"/>
        </w:rPr>
        <w:t>Role-based access control with at minimum: Super Admin, Tenant Admin, HR Manager, People Manager, Employee.</w:t>
      </w:r>
    </w:p>
    <w:p>
      <w:pPr>
        <w:pStyle w:val="ListBullet"/>
        <w:spacing w:after="40"/>
      </w:pPr>
      <w:r>
        <w:rPr>
          <w:color w:val="0F172A"/>
          <w:sz w:val="22"/>
        </w:rPr>
        <w:t>Secure invite-only signup flow tied to tenant-specific admin invite codes.</w:t>
      </w:r>
    </w:p>
    <w:p>
      <w:pPr>
        <w:pStyle w:val="ListBullet"/>
        <w:spacing w:after="40"/>
      </w:pPr>
      <w:r>
        <w:rPr>
          <w:color w:val="0F172A"/>
          <w:sz w:val="22"/>
        </w:rPr>
        <w:t>Data migration from existing spreadsheets for active employees and current leave balances.</w:t>
      </w:r>
    </w:p>
    <w:p>
      <w:pPr>
        <w:pStyle w:val="ListBullet"/>
        <w:spacing w:after="40"/>
      </w:pPr>
      <w:r>
        <w:rPr>
          <w:color w:val="0F172A"/>
          <w:sz w:val="22"/>
        </w:rPr>
        <w:t>End-user training (admins, managers, employees) and operations runbook.</w:t>
      </w:r>
    </w:p>
    <w:p>
      <w:pPr>
        <w:pStyle w:val="ListBullet"/>
        <w:spacing w:after="40"/>
      </w:pPr>
      <w:r>
        <w:rPr>
          <w:color w:val="0F172A"/>
          <w:sz w:val="22"/>
        </w:rPr>
        <w:t>Hypercare period of 30 days post go-live.</w:t>
      </w:r>
    </w:p>
    <w:p>
      <w:pPr>
        <w:spacing w:before="160" w:after="120"/>
      </w:pPr>
      <w:r>
        <w:rPr>
          <w:rFonts w:ascii="Calibri" w:hAnsi="Calibri"/>
          <w:b/>
          <w:color w:val="1E3A8A"/>
          <w:sz w:val="32"/>
        </w:rPr>
        <w:t>6.2 Out of Scope (Phase 1)</w:t>
      </w:r>
    </w:p>
    <w:p>
      <w:pPr>
        <w:pStyle w:val="ListBullet"/>
        <w:spacing w:after="40"/>
      </w:pPr>
      <w:r>
        <w:rPr>
          <w:color w:val="0F172A"/>
          <w:sz w:val="22"/>
        </w:rPr>
        <w:t>Full payroll calculation and statutory tax filing (handled by external payroll provider; AurborBloom will export payroll-ready data).</w:t>
      </w:r>
    </w:p>
    <w:p>
      <w:pPr>
        <w:pStyle w:val="ListBullet"/>
        <w:spacing w:after="40"/>
      </w:pPr>
      <w:r>
        <w:rPr>
          <w:color w:val="0F172A"/>
          <w:sz w:val="22"/>
        </w:rPr>
        <w:t>Recruitment / Applicant Tracking System (ATS) — to be evaluated in Phase 2.</w:t>
      </w:r>
    </w:p>
    <w:p>
      <w:pPr>
        <w:pStyle w:val="ListBullet"/>
        <w:spacing w:after="40"/>
      </w:pPr>
      <w:r>
        <w:rPr>
          <w:color w:val="0F172A"/>
          <w:sz w:val="22"/>
        </w:rPr>
        <w:t>Learning Management System (LMS) integration — Phase 2.</w:t>
      </w:r>
    </w:p>
    <w:p>
      <w:pPr>
        <w:pStyle w:val="ListBullet"/>
        <w:spacing w:after="40"/>
      </w:pPr>
      <w:r>
        <w:rPr>
          <w:color w:val="0F172A"/>
          <w:sz w:val="22"/>
        </w:rPr>
        <w:t>Biometric hardware integration — Phase 2.</w:t>
      </w:r>
    </w:p>
    <w:p>
      <w:pPr>
        <w:pStyle w:val="ListBullet"/>
        <w:spacing w:after="40"/>
      </w:pPr>
      <w:r>
        <w:rPr>
          <w:color w:val="0F172A"/>
          <w:sz w:val="22"/>
        </w:rPr>
        <w:t>Mobile native applications (iOS/Android) — Phase 2 (mobile web is in scope).</w:t>
      </w:r>
    </w:p>
    <w:p>
      <w:pPr>
        <w:pStyle w:val="ListBullet"/>
        <w:spacing w:after="40"/>
      </w:pPr>
      <w:r>
        <w:rPr>
          <w:color w:val="0F172A"/>
          <w:sz w:val="22"/>
        </w:rPr>
        <w:t>Migration of historical (&gt; 24 months) leave and timesheet data.</w:t>
      </w:r>
    </w:p>
    <w:p>
      <w:pPr>
        <w:spacing w:before="160" w:after="120"/>
      </w:pPr>
      <w:r>
        <w:rPr>
          <w:rFonts w:ascii="Calibri" w:hAnsi="Calibri"/>
          <w:b/>
          <w:color w:val="1E3A8A"/>
          <w:sz w:val="32"/>
        </w:rPr>
        <w:t>6.3 Assumptions</w:t>
      </w:r>
    </w:p>
    <w:p>
      <w:pPr>
        <w:pStyle w:val="ListNumber"/>
        <w:spacing w:after="40"/>
      </w:pPr>
      <w:r>
        <w:rPr>
          <w:color w:val="0F172A"/>
          <w:sz w:val="22"/>
        </w:rPr>
        <w:t>Perfect Solutions will provide a single point of contact (SPOC) empowered to make functional decisions.</w:t>
      </w:r>
    </w:p>
    <w:p>
      <w:pPr>
        <w:pStyle w:val="ListNumber"/>
        <w:spacing w:after="40"/>
      </w:pPr>
      <w:r>
        <w:rPr>
          <w:color w:val="0F172A"/>
          <w:sz w:val="22"/>
        </w:rPr>
        <w:t>Perfect Solutions will provide cleansed master data (employees, departments, managers) prior to migration.</w:t>
      </w:r>
    </w:p>
    <w:p>
      <w:pPr>
        <w:pStyle w:val="ListNumber"/>
        <w:spacing w:after="40"/>
      </w:pPr>
      <w:r>
        <w:rPr>
          <w:color w:val="0F172A"/>
          <w:sz w:val="22"/>
        </w:rPr>
        <w:t>DNS access for hr.perfectsolutions.com will be granted for CNAME verification.</w:t>
      </w:r>
    </w:p>
    <w:p>
      <w:pPr>
        <w:pStyle w:val="ListNumber"/>
        <w:spacing w:after="40"/>
      </w:pPr>
      <w:r>
        <w:rPr>
          <w:color w:val="0F172A"/>
          <w:sz w:val="22"/>
        </w:rPr>
        <w:t>Standard business hours support (9×5) is acceptable post hypercare; 24×7 is a Phase 2 consideration.</w:t>
      </w:r>
    </w:p>
    <w:p>
      <w:pPr>
        <w:pStyle w:val="ListNumber"/>
        <w:spacing w:after="40"/>
      </w:pPr>
      <w:r>
        <w:rPr>
          <w:color w:val="0F172A"/>
          <w:sz w:val="22"/>
        </w:rPr>
        <w:t>All users will access the system using modern evergreen browsers (Chrome, Edge, Safari, Firefox — latest two versions).</w:t>
      </w:r>
    </w:p>
    <w:p>
      <w:pPr>
        <w:pStyle w:val="ListNumber"/>
        <w:spacing w:after="40"/>
      </w:pPr>
      <w:r>
        <w:rPr>
          <w:color w:val="0F172A"/>
          <w:sz w:val="22"/>
        </w:rPr>
        <w:t>English is the only language required at go-live.</w:t>
      </w:r>
    </w:p>
    <w:p>
      <w:pPr>
        <w:spacing w:before="160" w:after="120"/>
      </w:pPr>
      <w:r>
        <w:rPr>
          <w:rFonts w:ascii="Calibri" w:hAnsi="Calibri"/>
          <w:b/>
          <w:color w:val="1E3A8A"/>
          <w:sz w:val="32"/>
        </w:rPr>
        <w:t>6.4 Constraints</w:t>
      </w:r>
    </w:p>
    <w:p>
      <w:pPr>
        <w:pStyle w:val="ListBullet"/>
        <w:spacing w:after="40"/>
      </w:pPr>
      <w:r>
        <w:rPr>
          <w:color w:val="0F172A"/>
          <w:sz w:val="22"/>
        </w:rPr>
        <w:t>Go-live must occur before the start of the next fiscal year planning cycle.</w:t>
      </w:r>
    </w:p>
    <w:p>
      <w:pPr>
        <w:pStyle w:val="ListBullet"/>
        <w:spacing w:after="40"/>
      </w:pPr>
      <w:r>
        <w:rPr>
          <w:color w:val="0F172A"/>
          <w:sz w:val="22"/>
        </w:rPr>
        <w:t>Data residency: all production data stored in regions compliant with US data protection regulations.</w:t>
      </w:r>
    </w:p>
    <w:p>
      <w:pPr>
        <w:pStyle w:val="ListBullet"/>
        <w:spacing w:after="40"/>
      </w:pPr>
      <w:r>
        <w:rPr>
          <w:color w:val="0F172A"/>
          <w:sz w:val="22"/>
        </w:rPr>
        <w:t>Maximum allowable scheduled downtime is one 2-hour window per month, executed outside business hours.</w:t>
      </w:r>
    </w:p>
    <w:p>
      <w:pPr>
        <w:pStyle w:val="ListBullet"/>
        <w:spacing w:after="40"/>
      </w:pPr>
      <w:r>
        <w:rPr>
          <w:color w:val="0F172A"/>
          <w:sz w:val="22"/>
        </w:rPr>
        <w:t>Implementation budget is fixed; scope changes require formal change-control approval.</w:t>
      </w:r>
    </w:p>
    <w:p>
      <w:r>
        <w:br w:type="page"/>
      </w:r>
    </w:p>
    <w:p>
      <w:pPr>
        <w:spacing w:before="280" w:after="120"/>
        <w:pBdr>
          <w:bottom w:val="single" w:sz="8" w:color="1E3A8A"/>
        </w:pBdr>
      </w:pPr>
      <w:r>
        <w:rPr>
          <w:rFonts w:ascii="Calibri" w:hAnsi="Calibri"/>
          <w:b/>
          <w:color w:val="1E3A8A"/>
          <w:sz w:val="36"/>
        </w:rPr>
        <w:t>7. Business Processes — Current vs Future State</w:t>
      </w:r>
    </w:p>
    <w:p>
      <w:pPr>
        <w:spacing w:after="80"/>
      </w:pPr>
      <w:r>
        <w:rPr>
          <w:rFonts w:ascii="Calibri" w:hAnsi="Calibri"/>
          <w:b w:val="0"/>
          <w:i w:val="0"/>
          <w:color w:val="0F172A"/>
          <w:sz w:val="22"/>
        </w:rPr>
        <w:t>The table below summarizes the most impactful HR processes that will transition from a manual or semi-digital current state to a fully automated future state on AurborBloom HRMS.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728"/>
            <w:shd w:val="clear" w:color="auto" w:fill="1E3A8A"/>
            <w:vAlign w:val="center"/>
          </w:tcPr>
          <w:p>
            <w:r/>
            <w:r>
              <w:rPr>
                <w:rFonts w:ascii="Calibri" w:hAnsi="Calibri"/>
                <w:b/>
                <w:color w:val="FFFFFF"/>
                <w:sz w:val="21"/>
              </w:rPr>
              <w:t>Process</w:t>
            </w:r>
          </w:p>
        </w:tc>
        <w:tc>
          <w:tcPr>
            <w:tcW w:type="dxa" w:w="2304"/>
            <w:shd w:val="clear" w:color="auto" w:fill="1E3A8A"/>
            <w:vAlign w:val="center"/>
          </w:tcPr>
          <w:p>
            <w:r/>
            <w:r>
              <w:rPr>
                <w:rFonts w:ascii="Calibri" w:hAnsi="Calibri"/>
                <w:b/>
                <w:color w:val="FFFFFF"/>
                <w:sz w:val="21"/>
              </w:rPr>
              <w:t>Current State (As-Is)</w:t>
            </w:r>
          </w:p>
        </w:tc>
        <w:tc>
          <w:tcPr>
            <w:tcW w:type="dxa" w:w="2880"/>
            <w:shd w:val="clear" w:color="auto" w:fill="1E3A8A"/>
            <w:vAlign w:val="center"/>
          </w:tcPr>
          <w:p>
            <w:r/>
            <w:r>
              <w:rPr>
                <w:rFonts w:ascii="Calibri" w:hAnsi="Calibri"/>
                <w:b/>
                <w:color w:val="FFFFFF"/>
                <w:sz w:val="21"/>
              </w:rPr>
              <w:t>Future State (To-Be)</w:t>
            </w:r>
          </w:p>
        </w:tc>
        <w:tc>
          <w:tcPr>
            <w:tcW w:type="dxa" w:w="2304"/>
            <w:shd w:val="clear" w:color="auto" w:fill="1E3A8A"/>
            <w:vAlign w:val="center"/>
          </w:tcPr>
          <w:p>
            <w:r/>
            <w:r>
              <w:rPr>
                <w:rFonts w:ascii="Calibri" w:hAnsi="Calibri"/>
                <w:b/>
                <w:color w:val="FFFFFF"/>
                <w:sz w:val="21"/>
              </w:rPr>
              <w:t>Expected Benefit</w:t>
            </w:r>
          </w:p>
        </w:tc>
      </w:tr>
      <w:tr>
        <w:tc>
          <w:tcPr>
            <w:tcW w:type="dxa" w:w="1728"/>
            <w:vAlign w:val="center"/>
            <w:shd w:val="clear" w:color="auto" w:fill="F1F5F9"/>
          </w:tcPr>
          <w:p>
            <w:r/>
            <w:r>
              <w:rPr>
                <w:rFonts w:ascii="Calibri" w:hAnsi="Calibri"/>
                <w:color w:val="0F172A"/>
                <w:sz w:val="20"/>
              </w:rPr>
              <w:t>Employee Onboarding</w:t>
            </w:r>
          </w:p>
        </w:tc>
        <w:tc>
          <w:tcPr>
            <w:tcW w:type="dxa" w:w="2304"/>
            <w:vAlign w:val="center"/>
            <w:shd w:val="clear" w:color="auto" w:fill="F1F5F9"/>
          </w:tcPr>
          <w:p>
            <w:r/>
            <w:r>
              <w:rPr>
                <w:rFonts w:ascii="Calibri" w:hAnsi="Calibri"/>
                <w:color w:val="0F172A"/>
                <w:sz w:val="20"/>
              </w:rPr>
              <w:t>Email-driven, paper forms, manual asset assignment.</w:t>
            </w:r>
          </w:p>
        </w:tc>
        <w:tc>
          <w:tcPr>
            <w:tcW w:type="dxa" w:w="2880"/>
            <w:vAlign w:val="center"/>
            <w:shd w:val="clear" w:color="auto" w:fill="F1F5F9"/>
          </w:tcPr>
          <w:p>
            <w:r/>
            <w:r>
              <w:rPr>
                <w:rFonts w:ascii="Calibri" w:hAnsi="Calibri"/>
                <w:color w:val="0F172A"/>
                <w:sz w:val="20"/>
              </w:rPr>
              <w:t>Digital onboarding workflow, pre-arrival document collection, automatic account provisioning.</w:t>
            </w:r>
          </w:p>
        </w:tc>
        <w:tc>
          <w:tcPr>
            <w:tcW w:type="dxa" w:w="2304"/>
            <w:vAlign w:val="center"/>
            <w:shd w:val="clear" w:color="auto" w:fill="F1F5F9"/>
          </w:tcPr>
          <w:p>
            <w:r/>
            <w:r>
              <w:rPr>
                <w:rFonts w:ascii="Calibri" w:hAnsi="Calibri"/>
                <w:color w:val="0F172A"/>
                <w:sz w:val="20"/>
              </w:rPr>
              <w:t>Onboarding cycle reduced from 5 days to 1 day.</w:t>
            </w:r>
          </w:p>
        </w:tc>
      </w:tr>
      <w:tr>
        <w:tc>
          <w:tcPr>
            <w:tcW w:type="dxa" w:w="1728"/>
            <w:vAlign w:val="center"/>
          </w:tcPr>
          <w:p>
            <w:r/>
            <w:r>
              <w:rPr>
                <w:rFonts w:ascii="Calibri" w:hAnsi="Calibri"/>
                <w:color w:val="0F172A"/>
                <w:sz w:val="20"/>
              </w:rPr>
              <w:t>Time Tracking</w:t>
            </w:r>
          </w:p>
        </w:tc>
        <w:tc>
          <w:tcPr>
            <w:tcW w:type="dxa" w:w="2304"/>
            <w:vAlign w:val="center"/>
          </w:tcPr>
          <w:p>
            <w:r/>
            <w:r>
              <w:rPr>
                <w:rFonts w:ascii="Calibri" w:hAnsi="Calibri"/>
                <w:color w:val="0F172A"/>
                <w:sz w:val="20"/>
              </w:rPr>
              <w:t>Spreadsheets emailed weekly to managers.</w:t>
            </w:r>
          </w:p>
        </w:tc>
        <w:tc>
          <w:tcPr>
            <w:tcW w:type="dxa" w:w="2880"/>
            <w:vAlign w:val="center"/>
          </w:tcPr>
          <w:p>
            <w:r/>
            <w:r>
              <w:rPr>
                <w:rFonts w:ascii="Calibri" w:hAnsi="Calibri"/>
                <w:color w:val="0F172A"/>
                <w:sz w:val="20"/>
              </w:rPr>
              <w:t>In-app daily/weekly entry, manager approvals, project tagging, exception alerts.</w:t>
            </w:r>
          </w:p>
        </w:tc>
        <w:tc>
          <w:tcPr>
            <w:tcW w:type="dxa" w:w="2304"/>
            <w:vAlign w:val="center"/>
          </w:tcPr>
          <w:p>
            <w:r/>
            <w:r>
              <w:rPr>
                <w:rFonts w:ascii="Calibri" w:hAnsi="Calibri"/>
                <w:color w:val="0F172A"/>
                <w:sz w:val="20"/>
              </w:rPr>
              <w:t>Billing accuracy +15%; overtime visibility same-day.</w:t>
            </w:r>
          </w:p>
        </w:tc>
      </w:tr>
      <w:tr>
        <w:tc>
          <w:tcPr>
            <w:tcW w:type="dxa" w:w="1728"/>
            <w:vAlign w:val="center"/>
            <w:shd w:val="clear" w:color="auto" w:fill="F1F5F9"/>
          </w:tcPr>
          <w:p>
            <w:r/>
            <w:r>
              <w:rPr>
                <w:rFonts w:ascii="Calibri" w:hAnsi="Calibri"/>
                <w:color w:val="0F172A"/>
                <w:sz w:val="20"/>
              </w:rPr>
              <w:t>Leave Requests</w:t>
            </w:r>
          </w:p>
        </w:tc>
        <w:tc>
          <w:tcPr>
            <w:tcW w:type="dxa" w:w="2304"/>
            <w:vAlign w:val="center"/>
            <w:shd w:val="clear" w:color="auto" w:fill="F1F5F9"/>
          </w:tcPr>
          <w:p>
            <w:r/>
            <w:r>
              <w:rPr>
                <w:rFonts w:ascii="Calibri" w:hAnsi="Calibri"/>
                <w:color w:val="0F172A"/>
                <w:sz w:val="20"/>
              </w:rPr>
              <w:t>Email + spreadsheet ledger maintained by HR.</w:t>
            </w:r>
          </w:p>
        </w:tc>
        <w:tc>
          <w:tcPr>
            <w:tcW w:type="dxa" w:w="2880"/>
            <w:vAlign w:val="center"/>
            <w:shd w:val="clear" w:color="auto" w:fill="F1F5F9"/>
          </w:tcPr>
          <w:p>
            <w:r/>
            <w:r>
              <w:rPr>
                <w:rFonts w:ascii="Calibri" w:hAnsi="Calibri"/>
                <w:color w:val="0F172A"/>
                <w:sz w:val="20"/>
              </w:rPr>
              <w:t>Self-service request, real-time balance, automated routing, calendar sync.</w:t>
            </w:r>
          </w:p>
        </w:tc>
        <w:tc>
          <w:tcPr>
            <w:tcW w:type="dxa" w:w="2304"/>
            <w:vAlign w:val="center"/>
            <w:shd w:val="clear" w:color="auto" w:fill="F1F5F9"/>
          </w:tcPr>
          <w:p>
            <w:r/>
            <w:r>
              <w:rPr>
                <w:rFonts w:ascii="Calibri" w:hAnsi="Calibri"/>
                <w:color w:val="0F172A"/>
                <w:sz w:val="20"/>
              </w:rPr>
              <w:t>Cycle time &lt; 1 day; zero balance disputes.</w:t>
            </w:r>
          </w:p>
        </w:tc>
      </w:tr>
      <w:tr>
        <w:tc>
          <w:tcPr>
            <w:tcW w:type="dxa" w:w="1728"/>
            <w:vAlign w:val="center"/>
          </w:tcPr>
          <w:p>
            <w:r/>
            <w:r>
              <w:rPr>
                <w:rFonts w:ascii="Calibri" w:hAnsi="Calibri"/>
                <w:color w:val="0F172A"/>
                <w:sz w:val="20"/>
              </w:rPr>
              <w:t>IT Helpdesk</w:t>
            </w:r>
          </w:p>
        </w:tc>
        <w:tc>
          <w:tcPr>
            <w:tcW w:type="dxa" w:w="2304"/>
            <w:vAlign w:val="center"/>
          </w:tcPr>
          <w:p>
            <w:r/>
            <w:r>
              <w:rPr>
                <w:rFonts w:ascii="Calibri" w:hAnsi="Calibri"/>
                <w:color w:val="0F172A"/>
                <w:sz w:val="20"/>
              </w:rPr>
              <w:t>Shared mailbox; no SLA tracking.</w:t>
            </w:r>
          </w:p>
        </w:tc>
        <w:tc>
          <w:tcPr>
            <w:tcW w:type="dxa" w:w="2880"/>
            <w:vAlign w:val="center"/>
          </w:tcPr>
          <w:p>
            <w:r/>
            <w:r>
              <w:rPr>
                <w:rFonts w:ascii="Calibri" w:hAnsi="Calibri"/>
                <w:color w:val="0F172A"/>
                <w:sz w:val="20"/>
              </w:rPr>
              <w:t>Ticketing module with categories, SLAs, comments, attachments, satisfaction rating.</w:t>
            </w:r>
          </w:p>
        </w:tc>
        <w:tc>
          <w:tcPr>
            <w:tcW w:type="dxa" w:w="2304"/>
            <w:vAlign w:val="center"/>
          </w:tcPr>
          <w:p>
            <w:r/>
            <w:r>
              <w:rPr>
                <w:rFonts w:ascii="Calibri" w:hAnsi="Calibri"/>
                <w:color w:val="0F172A"/>
                <w:sz w:val="20"/>
              </w:rPr>
              <w:t>First response &lt; 2h; CSAT measurable.</w:t>
            </w:r>
          </w:p>
        </w:tc>
      </w:tr>
      <w:tr>
        <w:tc>
          <w:tcPr>
            <w:tcW w:type="dxa" w:w="1728"/>
            <w:vAlign w:val="center"/>
            <w:shd w:val="clear" w:color="auto" w:fill="F1F5F9"/>
          </w:tcPr>
          <w:p>
            <w:r/>
            <w:r>
              <w:rPr>
                <w:rFonts w:ascii="Calibri" w:hAnsi="Calibri"/>
                <w:color w:val="0F172A"/>
                <w:sz w:val="20"/>
              </w:rPr>
              <w:t>Performance Reviews</w:t>
            </w:r>
          </w:p>
        </w:tc>
        <w:tc>
          <w:tcPr>
            <w:tcW w:type="dxa" w:w="2304"/>
            <w:vAlign w:val="center"/>
            <w:shd w:val="clear" w:color="auto" w:fill="F1F5F9"/>
          </w:tcPr>
          <w:p>
            <w:r/>
            <w:r>
              <w:rPr>
                <w:rFonts w:ascii="Calibri" w:hAnsi="Calibri"/>
                <w:color w:val="0F172A"/>
                <w:sz w:val="20"/>
              </w:rPr>
              <w:t>Annual, paper-based, Q4-only.</w:t>
            </w:r>
          </w:p>
        </w:tc>
        <w:tc>
          <w:tcPr>
            <w:tcW w:type="dxa" w:w="2880"/>
            <w:vAlign w:val="center"/>
            <w:shd w:val="clear" w:color="auto" w:fill="F1F5F9"/>
          </w:tcPr>
          <w:p>
            <w:r/>
            <w:r>
              <w:rPr>
                <w:rFonts w:ascii="Calibri" w:hAnsi="Calibri"/>
                <w:color w:val="0F172A"/>
                <w:sz w:val="20"/>
              </w:rPr>
              <w:t>Continuous feedback, quarterly check-ins, OKR tracking.</w:t>
            </w:r>
          </w:p>
        </w:tc>
        <w:tc>
          <w:tcPr>
            <w:tcW w:type="dxa" w:w="2304"/>
            <w:vAlign w:val="center"/>
            <w:shd w:val="clear" w:color="auto" w:fill="F1F5F9"/>
          </w:tcPr>
          <w:p>
            <w:r/>
            <w:r>
              <w:rPr>
                <w:rFonts w:ascii="Calibri" w:hAnsi="Calibri"/>
                <w:color w:val="0F172A"/>
                <w:sz w:val="20"/>
              </w:rPr>
              <w:t>Higher engagement, retention insight.</w:t>
            </w:r>
          </w:p>
        </w:tc>
      </w:tr>
      <w:tr>
        <w:tc>
          <w:tcPr>
            <w:tcW w:type="dxa" w:w="1728"/>
            <w:vAlign w:val="center"/>
          </w:tcPr>
          <w:p>
            <w:r/>
            <w:r>
              <w:rPr>
                <w:rFonts w:ascii="Calibri" w:hAnsi="Calibri"/>
                <w:color w:val="0F172A"/>
                <w:sz w:val="20"/>
              </w:rPr>
              <w:t>Audit Response</w:t>
            </w:r>
          </w:p>
        </w:tc>
        <w:tc>
          <w:tcPr>
            <w:tcW w:type="dxa" w:w="2304"/>
            <w:vAlign w:val="center"/>
          </w:tcPr>
          <w:p>
            <w:r/>
            <w:r>
              <w:rPr>
                <w:rFonts w:ascii="Calibri" w:hAnsi="Calibri"/>
                <w:color w:val="0F172A"/>
                <w:sz w:val="20"/>
              </w:rPr>
              <w:t>Manual data pull from multiple sources.</w:t>
            </w:r>
          </w:p>
        </w:tc>
        <w:tc>
          <w:tcPr>
            <w:tcW w:type="dxa" w:w="2880"/>
            <w:vAlign w:val="center"/>
          </w:tcPr>
          <w:p>
            <w:r/>
            <w:r>
              <w:rPr>
                <w:rFonts w:ascii="Calibri" w:hAnsi="Calibri"/>
                <w:color w:val="0F172A"/>
                <w:sz w:val="20"/>
              </w:rPr>
              <w:t>Single export with immutable audit log.</w:t>
            </w:r>
          </w:p>
        </w:tc>
        <w:tc>
          <w:tcPr>
            <w:tcW w:type="dxa" w:w="2304"/>
            <w:vAlign w:val="center"/>
          </w:tcPr>
          <w:p>
            <w:r/>
            <w:r>
              <w:rPr>
                <w:rFonts w:ascii="Calibri" w:hAnsi="Calibri"/>
                <w:color w:val="0F172A"/>
                <w:sz w:val="20"/>
              </w:rPr>
              <w:t>Audit prep time reduced ~70%.</w:t>
            </w:r>
          </w:p>
        </w:tc>
      </w:tr>
    </w:tbl>
    <w:p>
      <w:pPr>
        <w:jc w:val="center"/>
      </w:pPr>
      <w:r>
        <w:drawing>
          <wp:inline xmlns:a="http://schemas.openxmlformats.org/drawingml/2006/main" xmlns:pic="http://schemas.openxmlformats.org/drawingml/2006/picture">
            <wp:extent cx="5852160" cy="2898417"/>
            <wp:docPr id="4" name="Picture 4"/>
            <wp:cNvGraphicFramePr>
              <a:graphicFrameLocks noChangeAspect="1"/>
            </wp:cNvGraphicFramePr>
            <a:graphic>
              <a:graphicData uri="http://schemas.openxmlformats.org/drawingml/2006/picture">
                <pic:pic>
                  <pic:nvPicPr>
                    <pic:cNvPr id="0" name="leave_flow.png"/>
                    <pic:cNvPicPr/>
                  </pic:nvPicPr>
                  <pic:blipFill>
                    <a:blip r:embed="rId14"/>
                    <a:stretch>
                      <a:fillRect/>
                    </a:stretch>
                  </pic:blipFill>
                  <pic:spPr>
                    <a:xfrm>
                      <a:off x="0" y="0"/>
                      <a:ext cx="5852160" cy="2898417"/>
                    </a:xfrm>
                    <a:prstGeom prst="rect"/>
                  </pic:spPr>
                </pic:pic>
              </a:graphicData>
            </a:graphic>
          </wp:inline>
        </w:drawing>
      </w:r>
    </w:p>
    <w:p>
      <w:pPr>
        <w:jc w:val="center"/>
      </w:pPr>
      <w:r>
        <w:rPr>
          <w:i/>
          <w:color w:val="64748B"/>
          <w:sz w:val="19"/>
        </w:rPr>
        <w:t>Figure 3 — Future-state Leave Request Workflow</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Capture — Leave Approval Queue (Manager View)</w:t>
            </w:r>
          </w:p>
        </w:tc>
      </w:tr>
    </w:tbl>
    <w:p>
      <w:pPr>
        <w:spacing w:before="0" w:after="40"/>
        <w:jc w:val="center"/>
      </w:pPr>
      <w:r>
        <w:drawing>
          <wp:inline xmlns:a="http://schemas.openxmlformats.org/drawingml/2006/main" xmlns:pic="http://schemas.openxmlformats.org/drawingml/2006/picture">
            <wp:extent cx="5669280" cy="2657475"/>
            <wp:docPr id="5" name="Picture 5"/>
            <wp:cNvGraphicFramePr>
              <a:graphicFrameLocks noChangeAspect="1"/>
            </wp:cNvGraphicFramePr>
            <a:graphic>
              <a:graphicData uri="http://schemas.openxmlformats.org/drawingml/2006/picture">
                <pic:pic>
                  <pic:nvPicPr>
                    <pic:cNvPr id="0" name="07_admin_leave.png"/>
                    <pic:cNvPicPr/>
                  </pic:nvPicPr>
                  <pic:blipFill>
                    <a:blip r:embed="rId15"/>
                    <a:stretch>
                      <a:fillRect/>
                    </a:stretch>
                  </pic:blipFill>
                  <pic:spPr>
                    <a:xfrm>
                      <a:off x="0" y="0"/>
                      <a:ext cx="5669280" cy="2657475"/>
                    </a:xfrm>
                    <a:prstGeom prst="rect"/>
                  </pic:spPr>
                </pic:pic>
              </a:graphicData>
            </a:graphic>
          </wp:inline>
        </w:drawing>
      </w:r>
    </w:p>
    <w:p>
      <w:pPr>
        <w:spacing w:before="0"/>
        <w:jc w:val="center"/>
      </w:pPr>
      <w:r>
        <w:rPr>
          <w:i/>
          <w:color w:val="64748B"/>
          <w:sz w:val="19"/>
        </w:rPr>
        <w:t>Figure 7 — Pending leave requests with policy context for one-click decisions.</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Capture — Tickets / Internal Helpdesk</w:t>
            </w:r>
          </w:p>
        </w:tc>
      </w:tr>
    </w:tbl>
    <w:p>
      <w:pPr>
        <w:spacing w:before="0" w:after="40"/>
        <w:jc w:val="center"/>
      </w:pPr>
      <w:r>
        <w:drawing>
          <wp:inline xmlns:a="http://schemas.openxmlformats.org/drawingml/2006/main" xmlns:pic="http://schemas.openxmlformats.org/drawingml/2006/picture">
            <wp:extent cx="5669280" cy="2657475"/>
            <wp:docPr id="6" name="Picture 6"/>
            <wp:cNvGraphicFramePr>
              <a:graphicFrameLocks noChangeAspect="1"/>
            </wp:cNvGraphicFramePr>
            <a:graphic>
              <a:graphicData uri="http://schemas.openxmlformats.org/drawingml/2006/picture">
                <pic:pic>
                  <pic:nvPicPr>
                    <pic:cNvPr id="0" name="08_admin_tickets.png"/>
                    <pic:cNvPicPr/>
                  </pic:nvPicPr>
                  <pic:blipFill>
                    <a:blip r:embed="rId16"/>
                    <a:stretch>
                      <a:fillRect/>
                    </a:stretch>
                  </pic:blipFill>
                  <pic:spPr>
                    <a:xfrm>
                      <a:off x="0" y="0"/>
                      <a:ext cx="5669280" cy="2657475"/>
                    </a:xfrm>
                    <a:prstGeom prst="rect"/>
                  </pic:spPr>
                </pic:pic>
              </a:graphicData>
            </a:graphic>
          </wp:inline>
        </w:drawing>
      </w:r>
    </w:p>
    <w:p>
      <w:pPr>
        <w:spacing w:before="0"/>
        <w:jc w:val="center"/>
      </w:pPr>
      <w:r>
        <w:rPr>
          <w:i/>
          <w:color w:val="64748B"/>
          <w:sz w:val="19"/>
        </w:rPr>
        <w:t>Figure 8 — Categorized ticket queue with SLA visibility.</w:t>
      </w:r>
    </w:p>
    <w:p>
      <w:r>
        <w:br w:type="page"/>
      </w:r>
    </w:p>
    <w:p>
      <w:pPr>
        <w:spacing w:before="280" w:after="120"/>
        <w:pBdr>
          <w:bottom w:val="single" w:sz="8" w:color="1E3A8A"/>
        </w:pBdr>
      </w:pPr>
      <w:r>
        <w:rPr>
          <w:rFonts w:ascii="Calibri" w:hAnsi="Calibri"/>
          <w:b/>
          <w:color w:val="1E3A8A"/>
          <w:sz w:val="36"/>
        </w:rPr>
        <w:t>8. Business Requirements</w:t>
      </w:r>
    </w:p>
    <w:p>
      <w:pPr>
        <w:spacing w:after="80"/>
      </w:pPr>
      <w:r>
        <w:rPr>
          <w:rFonts w:ascii="Calibri" w:hAnsi="Calibri"/>
          <w:b w:val="0"/>
          <w:i w:val="0"/>
          <w:color w:val="0F172A"/>
          <w:sz w:val="22"/>
        </w:rPr>
        <w:t>Each business requirement is uniquely identified (BR-NNN), categorized, prioritized using MoSCoW, and traced to the corresponding business goal. Functional decomposition is provided in the companion FRD (PS-FRD-2026-001).</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864"/>
            <w:shd w:val="clear" w:color="auto" w:fill="1E3A8A"/>
            <w:vAlign w:val="center"/>
          </w:tcPr>
          <w:p>
            <w:r/>
            <w:r>
              <w:rPr>
                <w:rFonts w:ascii="Calibri" w:hAnsi="Calibri"/>
                <w:b/>
                <w:color w:val="FFFFFF"/>
                <w:sz w:val="21"/>
              </w:rPr>
              <w:t>ID</w:t>
            </w:r>
          </w:p>
        </w:tc>
        <w:tc>
          <w:tcPr>
            <w:tcW w:type="dxa" w:w="1368"/>
            <w:shd w:val="clear" w:color="auto" w:fill="1E3A8A"/>
            <w:vAlign w:val="center"/>
          </w:tcPr>
          <w:p>
            <w:r/>
            <w:r>
              <w:rPr>
                <w:rFonts w:ascii="Calibri" w:hAnsi="Calibri"/>
                <w:b/>
                <w:color w:val="FFFFFF"/>
                <w:sz w:val="21"/>
              </w:rPr>
              <w:t>Category</w:t>
            </w:r>
          </w:p>
        </w:tc>
        <w:tc>
          <w:tcPr>
            <w:tcW w:type="dxa" w:w="4608"/>
            <w:shd w:val="clear" w:color="auto" w:fill="1E3A8A"/>
            <w:vAlign w:val="center"/>
          </w:tcPr>
          <w:p>
            <w:r/>
            <w:r>
              <w:rPr>
                <w:rFonts w:ascii="Calibri" w:hAnsi="Calibri"/>
                <w:b/>
                <w:color w:val="FFFFFF"/>
                <w:sz w:val="21"/>
              </w:rPr>
              <w:t>Requirement</w:t>
            </w:r>
          </w:p>
        </w:tc>
        <w:tc>
          <w:tcPr>
            <w:tcW w:type="dxa" w:w="1008"/>
            <w:shd w:val="clear" w:color="auto" w:fill="1E3A8A"/>
            <w:vAlign w:val="center"/>
          </w:tcPr>
          <w:p>
            <w:r/>
            <w:r>
              <w:rPr>
                <w:rFonts w:ascii="Calibri" w:hAnsi="Calibri"/>
                <w:b/>
                <w:color w:val="FFFFFF"/>
                <w:sz w:val="21"/>
              </w:rPr>
              <w:t>Priority</w:t>
            </w:r>
          </w:p>
        </w:tc>
        <w:tc>
          <w:tcPr>
            <w:tcW w:type="dxa" w:w="864"/>
            <w:shd w:val="clear" w:color="auto" w:fill="1E3A8A"/>
            <w:vAlign w:val="center"/>
          </w:tcPr>
          <w:p>
            <w:r/>
            <w:r>
              <w:rPr>
                <w:rFonts w:ascii="Calibri" w:hAnsi="Calibri"/>
                <w:b/>
                <w:color w:val="FFFFFF"/>
                <w:sz w:val="21"/>
              </w:rPr>
              <w:t>Goal</w:t>
            </w:r>
          </w:p>
        </w:tc>
      </w:tr>
      <w:tr>
        <w:tc>
          <w:tcPr>
            <w:tcW w:type="dxa" w:w="864"/>
            <w:vAlign w:val="center"/>
            <w:shd w:val="clear" w:color="auto" w:fill="F1F5F9"/>
          </w:tcPr>
          <w:p>
            <w:r/>
            <w:r>
              <w:rPr>
                <w:rFonts w:ascii="Calibri" w:hAnsi="Calibri"/>
                <w:color w:val="0F172A"/>
                <w:sz w:val="20"/>
              </w:rPr>
              <w:t>BR-001</w:t>
            </w:r>
          </w:p>
        </w:tc>
        <w:tc>
          <w:tcPr>
            <w:tcW w:type="dxa" w:w="1368"/>
            <w:vAlign w:val="center"/>
            <w:shd w:val="clear" w:color="auto" w:fill="F1F5F9"/>
          </w:tcPr>
          <w:p>
            <w:r/>
            <w:r>
              <w:rPr>
                <w:rFonts w:ascii="Calibri" w:hAnsi="Calibri"/>
                <w:color w:val="0F172A"/>
                <w:sz w:val="20"/>
              </w:rPr>
              <w:t>Branding</w:t>
            </w:r>
          </w:p>
        </w:tc>
        <w:tc>
          <w:tcPr>
            <w:tcW w:type="dxa" w:w="4608"/>
            <w:vAlign w:val="center"/>
            <w:shd w:val="clear" w:color="auto" w:fill="F1F5F9"/>
          </w:tcPr>
          <w:p>
            <w:r/>
            <w:r>
              <w:rPr>
                <w:rFonts w:ascii="Calibri" w:hAnsi="Calibri"/>
                <w:color w:val="0F172A"/>
                <w:sz w:val="20"/>
              </w:rPr>
              <w:t>The platform must display Perfect Solutions branding (logo, colors, tab title, custom domain) consistently across every page and outbound email.</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BG-07</w:t>
            </w:r>
          </w:p>
        </w:tc>
      </w:tr>
      <w:tr>
        <w:tc>
          <w:tcPr>
            <w:tcW w:type="dxa" w:w="864"/>
            <w:vAlign w:val="center"/>
          </w:tcPr>
          <w:p>
            <w:r/>
            <w:r>
              <w:rPr>
                <w:rFonts w:ascii="Calibri" w:hAnsi="Calibri"/>
                <w:color w:val="0F172A"/>
                <w:sz w:val="20"/>
              </w:rPr>
              <w:t>BR-002</w:t>
            </w:r>
          </w:p>
        </w:tc>
        <w:tc>
          <w:tcPr>
            <w:tcW w:type="dxa" w:w="1368"/>
            <w:vAlign w:val="center"/>
          </w:tcPr>
          <w:p>
            <w:r/>
            <w:r>
              <w:rPr>
                <w:rFonts w:ascii="Calibri" w:hAnsi="Calibri"/>
                <w:color w:val="0F172A"/>
                <w:sz w:val="20"/>
              </w:rPr>
              <w:t>Access</w:t>
            </w:r>
          </w:p>
        </w:tc>
        <w:tc>
          <w:tcPr>
            <w:tcW w:type="dxa" w:w="4608"/>
            <w:vAlign w:val="center"/>
          </w:tcPr>
          <w:p>
            <w:r/>
            <w:r>
              <w:rPr>
                <w:rFonts w:ascii="Calibri" w:hAnsi="Calibri"/>
                <w:color w:val="0F172A"/>
                <w:sz w:val="20"/>
              </w:rPr>
              <w:t>Only invited users with a valid tenant-specific admin invite code may sign up as administrators.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BG-06</w:t>
            </w:r>
          </w:p>
        </w:tc>
      </w:tr>
      <w:tr>
        <w:tc>
          <w:tcPr>
            <w:tcW w:type="dxa" w:w="864"/>
            <w:vAlign w:val="center"/>
            <w:shd w:val="clear" w:color="auto" w:fill="F1F5F9"/>
          </w:tcPr>
          <w:p>
            <w:r/>
            <w:r>
              <w:rPr>
                <w:rFonts w:ascii="Calibri" w:hAnsi="Calibri"/>
                <w:color w:val="0F172A"/>
                <w:sz w:val="20"/>
              </w:rPr>
              <w:t>BR-003</w:t>
            </w:r>
          </w:p>
        </w:tc>
        <w:tc>
          <w:tcPr>
            <w:tcW w:type="dxa" w:w="1368"/>
            <w:vAlign w:val="center"/>
            <w:shd w:val="clear" w:color="auto" w:fill="F1F5F9"/>
          </w:tcPr>
          <w:p>
            <w:r/>
            <w:r>
              <w:rPr>
                <w:rFonts w:ascii="Calibri" w:hAnsi="Calibri"/>
                <w:color w:val="0F172A"/>
                <w:sz w:val="20"/>
              </w:rPr>
              <w:t>Access</w:t>
            </w:r>
          </w:p>
        </w:tc>
        <w:tc>
          <w:tcPr>
            <w:tcW w:type="dxa" w:w="4608"/>
            <w:vAlign w:val="center"/>
            <w:shd w:val="clear" w:color="auto" w:fill="F1F5F9"/>
          </w:tcPr>
          <w:p>
            <w:r/>
            <w:r>
              <w:rPr>
                <w:rFonts w:ascii="Calibri" w:hAnsi="Calibri"/>
                <w:color w:val="0F172A"/>
                <w:sz w:val="20"/>
              </w:rPr>
              <w:t>All users must authenticate before accessing any non-public route.</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BG-06</w:t>
            </w:r>
          </w:p>
        </w:tc>
      </w:tr>
      <w:tr>
        <w:tc>
          <w:tcPr>
            <w:tcW w:type="dxa" w:w="864"/>
            <w:vAlign w:val="center"/>
          </w:tcPr>
          <w:p>
            <w:r/>
            <w:r>
              <w:rPr>
                <w:rFonts w:ascii="Calibri" w:hAnsi="Calibri"/>
                <w:color w:val="0F172A"/>
                <w:sz w:val="20"/>
              </w:rPr>
              <w:t>BR-004</w:t>
            </w:r>
          </w:p>
        </w:tc>
        <w:tc>
          <w:tcPr>
            <w:tcW w:type="dxa" w:w="1368"/>
            <w:vAlign w:val="center"/>
          </w:tcPr>
          <w:p>
            <w:r/>
            <w:r>
              <w:rPr>
                <w:rFonts w:ascii="Calibri" w:hAnsi="Calibri"/>
                <w:color w:val="0F172A"/>
                <w:sz w:val="20"/>
              </w:rPr>
              <w:t>Access</w:t>
            </w:r>
          </w:p>
        </w:tc>
        <w:tc>
          <w:tcPr>
            <w:tcW w:type="dxa" w:w="4608"/>
            <w:vAlign w:val="center"/>
          </w:tcPr>
          <w:p>
            <w:r/>
            <w:r>
              <w:rPr>
                <w:rFonts w:ascii="Calibri" w:hAnsi="Calibri"/>
                <w:color w:val="0F172A"/>
                <w:sz w:val="20"/>
              </w:rPr>
              <w:t>The system shall enforce role-based access control with at minimum five roles.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BG-06</w:t>
            </w:r>
          </w:p>
        </w:tc>
      </w:tr>
      <w:tr>
        <w:tc>
          <w:tcPr>
            <w:tcW w:type="dxa" w:w="864"/>
            <w:vAlign w:val="center"/>
            <w:shd w:val="clear" w:color="auto" w:fill="F1F5F9"/>
          </w:tcPr>
          <w:p>
            <w:r/>
            <w:r>
              <w:rPr>
                <w:rFonts w:ascii="Calibri" w:hAnsi="Calibri"/>
                <w:color w:val="0F172A"/>
                <w:sz w:val="20"/>
              </w:rPr>
              <w:t>BR-005</w:t>
            </w:r>
          </w:p>
        </w:tc>
        <w:tc>
          <w:tcPr>
            <w:tcW w:type="dxa" w:w="1368"/>
            <w:vAlign w:val="center"/>
            <w:shd w:val="clear" w:color="auto" w:fill="F1F5F9"/>
          </w:tcPr>
          <w:p>
            <w:r/>
            <w:r>
              <w:rPr>
                <w:rFonts w:ascii="Calibri" w:hAnsi="Calibri"/>
                <w:color w:val="0F172A"/>
                <w:sz w:val="20"/>
              </w:rPr>
              <w:t>Employees</w:t>
            </w:r>
          </w:p>
        </w:tc>
        <w:tc>
          <w:tcPr>
            <w:tcW w:type="dxa" w:w="4608"/>
            <w:vAlign w:val="center"/>
            <w:shd w:val="clear" w:color="auto" w:fill="F1F5F9"/>
          </w:tcPr>
          <w:p>
            <w:r/>
            <w:r>
              <w:rPr>
                <w:rFonts w:ascii="Calibri" w:hAnsi="Calibri"/>
                <w:color w:val="0F172A"/>
                <w:sz w:val="20"/>
              </w:rPr>
              <w:t>HR shall be able to create, update, deactivate, and search employee records.</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BG-01</w:t>
            </w:r>
          </w:p>
        </w:tc>
      </w:tr>
      <w:tr>
        <w:tc>
          <w:tcPr>
            <w:tcW w:type="dxa" w:w="864"/>
            <w:vAlign w:val="center"/>
          </w:tcPr>
          <w:p>
            <w:r/>
            <w:r>
              <w:rPr>
                <w:rFonts w:ascii="Calibri" w:hAnsi="Calibri"/>
                <w:color w:val="0F172A"/>
                <w:sz w:val="20"/>
              </w:rPr>
              <w:t>BR-006</w:t>
            </w:r>
          </w:p>
        </w:tc>
        <w:tc>
          <w:tcPr>
            <w:tcW w:type="dxa" w:w="1368"/>
            <w:vAlign w:val="center"/>
          </w:tcPr>
          <w:p>
            <w:r/>
            <w:r>
              <w:rPr>
                <w:rFonts w:ascii="Calibri" w:hAnsi="Calibri"/>
                <w:color w:val="0F172A"/>
                <w:sz w:val="20"/>
              </w:rPr>
              <w:t>Time</w:t>
            </w:r>
          </w:p>
        </w:tc>
        <w:tc>
          <w:tcPr>
            <w:tcW w:type="dxa" w:w="4608"/>
            <w:vAlign w:val="center"/>
          </w:tcPr>
          <w:p>
            <w:r/>
            <w:r>
              <w:rPr>
                <w:rFonts w:ascii="Calibri" w:hAnsi="Calibri"/>
                <w:color w:val="0F172A"/>
                <w:sz w:val="20"/>
              </w:rPr>
              <w:t>Employees shall log time daily/weekly with project tagging and submit for manager approval.</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BG-02</w:t>
            </w:r>
          </w:p>
        </w:tc>
      </w:tr>
      <w:tr>
        <w:tc>
          <w:tcPr>
            <w:tcW w:type="dxa" w:w="864"/>
            <w:vAlign w:val="center"/>
            <w:shd w:val="clear" w:color="auto" w:fill="F1F5F9"/>
          </w:tcPr>
          <w:p>
            <w:r/>
            <w:r>
              <w:rPr>
                <w:rFonts w:ascii="Calibri" w:hAnsi="Calibri"/>
                <w:color w:val="0F172A"/>
                <w:sz w:val="20"/>
              </w:rPr>
              <w:t>BR-007</w:t>
            </w:r>
          </w:p>
        </w:tc>
        <w:tc>
          <w:tcPr>
            <w:tcW w:type="dxa" w:w="1368"/>
            <w:vAlign w:val="center"/>
            <w:shd w:val="clear" w:color="auto" w:fill="F1F5F9"/>
          </w:tcPr>
          <w:p>
            <w:r/>
            <w:r>
              <w:rPr>
                <w:rFonts w:ascii="Calibri" w:hAnsi="Calibri"/>
                <w:color w:val="0F172A"/>
                <w:sz w:val="20"/>
              </w:rPr>
              <w:t>Time</w:t>
            </w:r>
          </w:p>
        </w:tc>
        <w:tc>
          <w:tcPr>
            <w:tcW w:type="dxa" w:w="4608"/>
            <w:vAlign w:val="center"/>
            <w:shd w:val="clear" w:color="auto" w:fill="F1F5F9"/>
          </w:tcPr>
          <w:p>
            <w:r/>
            <w:r>
              <w:rPr>
                <w:rFonts w:ascii="Calibri" w:hAnsi="Calibri"/>
                <w:color w:val="0F172A"/>
                <w:sz w:val="20"/>
              </w:rPr>
              <w:t>Managers shall approve, reject, or request changes on submitted timesheets.</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BG-02</w:t>
            </w:r>
          </w:p>
        </w:tc>
      </w:tr>
      <w:tr>
        <w:tc>
          <w:tcPr>
            <w:tcW w:type="dxa" w:w="864"/>
            <w:vAlign w:val="center"/>
          </w:tcPr>
          <w:p>
            <w:r/>
            <w:r>
              <w:rPr>
                <w:rFonts w:ascii="Calibri" w:hAnsi="Calibri"/>
                <w:color w:val="0F172A"/>
                <w:sz w:val="20"/>
              </w:rPr>
              <w:t>BR-008</w:t>
            </w:r>
          </w:p>
        </w:tc>
        <w:tc>
          <w:tcPr>
            <w:tcW w:type="dxa" w:w="1368"/>
            <w:vAlign w:val="center"/>
          </w:tcPr>
          <w:p>
            <w:r/>
            <w:r>
              <w:rPr>
                <w:rFonts w:ascii="Calibri" w:hAnsi="Calibri"/>
                <w:color w:val="0F172A"/>
                <w:sz w:val="20"/>
              </w:rPr>
              <w:t>Leave</w:t>
            </w:r>
          </w:p>
        </w:tc>
        <w:tc>
          <w:tcPr>
            <w:tcW w:type="dxa" w:w="4608"/>
            <w:vAlign w:val="center"/>
          </w:tcPr>
          <w:p>
            <w:r/>
            <w:r>
              <w:rPr>
                <w:rFonts w:ascii="Calibri" w:hAnsi="Calibri"/>
                <w:color w:val="0F172A"/>
                <w:sz w:val="20"/>
              </w:rPr>
              <w:t>Employees shall view current leave balance and submit leave requests.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BG-03</w:t>
            </w:r>
          </w:p>
        </w:tc>
      </w:tr>
      <w:tr>
        <w:tc>
          <w:tcPr>
            <w:tcW w:type="dxa" w:w="864"/>
            <w:vAlign w:val="center"/>
            <w:shd w:val="clear" w:color="auto" w:fill="F1F5F9"/>
          </w:tcPr>
          <w:p>
            <w:r/>
            <w:r>
              <w:rPr>
                <w:rFonts w:ascii="Calibri" w:hAnsi="Calibri"/>
                <w:color w:val="0F172A"/>
                <w:sz w:val="20"/>
              </w:rPr>
              <w:t>BR-009</w:t>
            </w:r>
          </w:p>
        </w:tc>
        <w:tc>
          <w:tcPr>
            <w:tcW w:type="dxa" w:w="1368"/>
            <w:vAlign w:val="center"/>
            <w:shd w:val="clear" w:color="auto" w:fill="F1F5F9"/>
          </w:tcPr>
          <w:p>
            <w:r/>
            <w:r>
              <w:rPr>
                <w:rFonts w:ascii="Calibri" w:hAnsi="Calibri"/>
                <w:color w:val="0F172A"/>
                <w:sz w:val="20"/>
              </w:rPr>
              <w:t>Leave</w:t>
            </w:r>
          </w:p>
        </w:tc>
        <w:tc>
          <w:tcPr>
            <w:tcW w:type="dxa" w:w="4608"/>
            <w:vAlign w:val="center"/>
            <w:shd w:val="clear" w:color="auto" w:fill="F1F5F9"/>
          </w:tcPr>
          <w:p>
            <w:r/>
            <w:r>
              <w:rPr>
                <w:rFonts w:ascii="Calibri" w:hAnsi="Calibri"/>
                <w:color w:val="0F172A"/>
                <w:sz w:val="20"/>
              </w:rPr>
              <w:t>Managers shall approve/reject leave with automated notifications.</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BG-03</w:t>
            </w:r>
          </w:p>
        </w:tc>
      </w:tr>
      <w:tr>
        <w:tc>
          <w:tcPr>
            <w:tcW w:type="dxa" w:w="864"/>
            <w:vAlign w:val="center"/>
          </w:tcPr>
          <w:p>
            <w:r/>
            <w:r>
              <w:rPr>
                <w:rFonts w:ascii="Calibri" w:hAnsi="Calibri"/>
                <w:color w:val="0F172A"/>
                <w:sz w:val="20"/>
              </w:rPr>
              <w:t>BR-010</w:t>
            </w:r>
          </w:p>
        </w:tc>
        <w:tc>
          <w:tcPr>
            <w:tcW w:type="dxa" w:w="1368"/>
            <w:vAlign w:val="center"/>
          </w:tcPr>
          <w:p>
            <w:r/>
            <w:r>
              <w:rPr>
                <w:rFonts w:ascii="Calibri" w:hAnsi="Calibri"/>
                <w:color w:val="0F172A"/>
                <w:sz w:val="20"/>
              </w:rPr>
              <w:t>Leave</w:t>
            </w:r>
          </w:p>
        </w:tc>
        <w:tc>
          <w:tcPr>
            <w:tcW w:type="dxa" w:w="4608"/>
            <w:vAlign w:val="center"/>
          </w:tcPr>
          <w:p>
            <w:r/>
            <w:r>
              <w:rPr>
                <w:rFonts w:ascii="Calibri" w:hAnsi="Calibri"/>
                <w:color w:val="0F172A"/>
                <w:sz w:val="20"/>
              </w:rPr>
              <w:t>The system shall prevent overlapping or balance-exceeding leave requests.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BG-03</w:t>
            </w:r>
          </w:p>
        </w:tc>
      </w:tr>
      <w:tr>
        <w:tc>
          <w:tcPr>
            <w:tcW w:type="dxa" w:w="864"/>
            <w:vAlign w:val="center"/>
            <w:shd w:val="clear" w:color="auto" w:fill="F1F5F9"/>
          </w:tcPr>
          <w:p>
            <w:r/>
            <w:r>
              <w:rPr>
                <w:rFonts w:ascii="Calibri" w:hAnsi="Calibri"/>
                <w:color w:val="0F172A"/>
                <w:sz w:val="20"/>
              </w:rPr>
              <w:t>BR-011</w:t>
            </w:r>
          </w:p>
        </w:tc>
        <w:tc>
          <w:tcPr>
            <w:tcW w:type="dxa" w:w="1368"/>
            <w:vAlign w:val="center"/>
            <w:shd w:val="clear" w:color="auto" w:fill="F1F5F9"/>
          </w:tcPr>
          <w:p>
            <w:r/>
            <w:r>
              <w:rPr>
                <w:rFonts w:ascii="Calibri" w:hAnsi="Calibri"/>
                <w:color w:val="0F172A"/>
                <w:sz w:val="20"/>
              </w:rPr>
              <w:t>Tickets</w:t>
            </w:r>
          </w:p>
        </w:tc>
        <w:tc>
          <w:tcPr>
            <w:tcW w:type="dxa" w:w="4608"/>
            <w:vAlign w:val="center"/>
            <w:shd w:val="clear" w:color="auto" w:fill="F1F5F9"/>
          </w:tcPr>
          <w:p>
            <w:r/>
            <w:r>
              <w:rPr>
                <w:rFonts w:ascii="Calibri" w:hAnsi="Calibri"/>
                <w:color w:val="0F172A"/>
                <w:sz w:val="20"/>
              </w:rPr>
              <w:t>Employees shall raise support tickets categorized by department.</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BG-04</w:t>
            </w:r>
          </w:p>
        </w:tc>
      </w:tr>
      <w:tr>
        <w:tc>
          <w:tcPr>
            <w:tcW w:type="dxa" w:w="864"/>
            <w:vAlign w:val="center"/>
          </w:tcPr>
          <w:p>
            <w:r/>
            <w:r>
              <w:rPr>
                <w:rFonts w:ascii="Calibri" w:hAnsi="Calibri"/>
                <w:color w:val="0F172A"/>
                <w:sz w:val="20"/>
              </w:rPr>
              <w:t>BR-012</w:t>
            </w:r>
          </w:p>
        </w:tc>
        <w:tc>
          <w:tcPr>
            <w:tcW w:type="dxa" w:w="1368"/>
            <w:vAlign w:val="center"/>
          </w:tcPr>
          <w:p>
            <w:r/>
            <w:r>
              <w:rPr>
                <w:rFonts w:ascii="Calibri" w:hAnsi="Calibri"/>
                <w:color w:val="0F172A"/>
                <w:sz w:val="20"/>
              </w:rPr>
              <w:t>Tickets</w:t>
            </w:r>
          </w:p>
        </w:tc>
        <w:tc>
          <w:tcPr>
            <w:tcW w:type="dxa" w:w="4608"/>
            <w:vAlign w:val="center"/>
          </w:tcPr>
          <w:p>
            <w:r/>
            <w:r>
              <w:rPr>
                <w:rFonts w:ascii="Calibri" w:hAnsi="Calibri"/>
                <w:color w:val="0F172A"/>
                <w:sz w:val="20"/>
              </w:rPr>
              <w:t>Tickets shall track SLA against configured targets.</w:t>
            </w:r>
          </w:p>
        </w:tc>
        <w:tc>
          <w:tcPr>
            <w:tcW w:type="dxa" w:w="1008"/>
            <w:vAlign w:val="center"/>
          </w:tcPr>
          <w:p>
            <w:r/>
            <w:r>
              <w:rPr>
                <w:rFonts w:ascii="Calibri" w:hAnsi="Calibri"/>
                <w:color w:val="0F172A"/>
                <w:sz w:val="20"/>
              </w:rPr>
              <w:t>Should</w:t>
            </w:r>
          </w:p>
        </w:tc>
        <w:tc>
          <w:tcPr>
            <w:tcW w:type="dxa" w:w="864"/>
            <w:vAlign w:val="center"/>
          </w:tcPr>
          <w:p>
            <w:r/>
            <w:r>
              <w:rPr>
                <w:rFonts w:ascii="Calibri" w:hAnsi="Calibri"/>
                <w:color w:val="0F172A"/>
                <w:sz w:val="20"/>
              </w:rPr>
              <w:t>BG-04</w:t>
            </w:r>
          </w:p>
        </w:tc>
      </w:tr>
      <w:tr>
        <w:tc>
          <w:tcPr>
            <w:tcW w:type="dxa" w:w="864"/>
            <w:vAlign w:val="center"/>
            <w:shd w:val="clear" w:color="auto" w:fill="F1F5F9"/>
          </w:tcPr>
          <w:p>
            <w:r/>
            <w:r>
              <w:rPr>
                <w:rFonts w:ascii="Calibri" w:hAnsi="Calibri"/>
                <w:color w:val="0F172A"/>
                <w:sz w:val="20"/>
              </w:rPr>
              <w:t>BR-013</w:t>
            </w:r>
          </w:p>
        </w:tc>
        <w:tc>
          <w:tcPr>
            <w:tcW w:type="dxa" w:w="1368"/>
            <w:vAlign w:val="center"/>
            <w:shd w:val="clear" w:color="auto" w:fill="F1F5F9"/>
          </w:tcPr>
          <w:p>
            <w:r/>
            <w:r>
              <w:rPr>
                <w:rFonts w:ascii="Calibri" w:hAnsi="Calibri"/>
                <w:color w:val="0F172A"/>
                <w:sz w:val="20"/>
              </w:rPr>
              <w:t>Calendar</w:t>
            </w:r>
          </w:p>
        </w:tc>
        <w:tc>
          <w:tcPr>
            <w:tcW w:type="dxa" w:w="4608"/>
            <w:vAlign w:val="center"/>
            <w:shd w:val="clear" w:color="auto" w:fill="F1F5F9"/>
          </w:tcPr>
          <w:p>
            <w:r/>
            <w:r>
              <w:rPr>
                <w:rFonts w:ascii="Calibri" w:hAnsi="Calibri"/>
                <w:color w:val="0F172A"/>
                <w:sz w:val="20"/>
              </w:rPr>
              <w:t>Approved leaves and company events shall surface in a unified calendar.</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BG-05</w:t>
            </w:r>
          </w:p>
        </w:tc>
      </w:tr>
      <w:tr>
        <w:tc>
          <w:tcPr>
            <w:tcW w:type="dxa" w:w="864"/>
            <w:vAlign w:val="center"/>
          </w:tcPr>
          <w:p>
            <w:r/>
            <w:r>
              <w:rPr>
                <w:rFonts w:ascii="Calibri" w:hAnsi="Calibri"/>
                <w:color w:val="0F172A"/>
                <w:sz w:val="20"/>
              </w:rPr>
              <w:t>BR-014</w:t>
            </w:r>
          </w:p>
        </w:tc>
        <w:tc>
          <w:tcPr>
            <w:tcW w:type="dxa" w:w="1368"/>
            <w:vAlign w:val="center"/>
          </w:tcPr>
          <w:p>
            <w:r/>
            <w:r>
              <w:rPr>
                <w:rFonts w:ascii="Calibri" w:hAnsi="Calibri"/>
                <w:color w:val="0F172A"/>
                <w:sz w:val="20"/>
              </w:rPr>
              <w:t>Documents</w:t>
            </w:r>
          </w:p>
        </w:tc>
        <w:tc>
          <w:tcPr>
            <w:tcW w:type="dxa" w:w="4608"/>
            <w:vAlign w:val="center"/>
          </w:tcPr>
          <w:p>
            <w:r/>
            <w:r>
              <w:rPr>
                <w:rFonts w:ascii="Calibri" w:hAnsi="Calibri"/>
                <w:color w:val="0F172A"/>
                <w:sz w:val="20"/>
              </w:rPr>
              <w:t>Employees shall securely access pay slips, policies, and personal documents.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BG-01</w:t>
            </w:r>
          </w:p>
        </w:tc>
      </w:tr>
      <w:tr>
        <w:tc>
          <w:tcPr>
            <w:tcW w:type="dxa" w:w="864"/>
            <w:vAlign w:val="center"/>
            <w:shd w:val="clear" w:color="auto" w:fill="F1F5F9"/>
          </w:tcPr>
          <w:p>
            <w:r/>
            <w:r>
              <w:rPr>
                <w:rFonts w:ascii="Calibri" w:hAnsi="Calibri"/>
                <w:color w:val="0F172A"/>
                <w:sz w:val="20"/>
              </w:rPr>
              <w:t>BR-015</w:t>
            </w:r>
          </w:p>
        </w:tc>
        <w:tc>
          <w:tcPr>
            <w:tcW w:type="dxa" w:w="1368"/>
            <w:vAlign w:val="center"/>
            <w:shd w:val="clear" w:color="auto" w:fill="F1F5F9"/>
          </w:tcPr>
          <w:p>
            <w:r/>
            <w:r>
              <w:rPr>
                <w:rFonts w:ascii="Calibri" w:hAnsi="Calibri"/>
                <w:color w:val="0F172A"/>
                <w:sz w:val="20"/>
              </w:rPr>
              <w:t>Reports</w:t>
            </w:r>
          </w:p>
        </w:tc>
        <w:tc>
          <w:tcPr>
            <w:tcW w:type="dxa" w:w="4608"/>
            <w:vAlign w:val="center"/>
            <w:shd w:val="clear" w:color="auto" w:fill="F1F5F9"/>
          </w:tcPr>
          <w:p>
            <w:r/>
            <w:r>
              <w:rPr>
                <w:rFonts w:ascii="Calibri" w:hAnsi="Calibri"/>
                <w:color w:val="0F172A"/>
                <w:sz w:val="20"/>
              </w:rPr>
              <w:t>HR and Finance shall export workforce, attendance, and leave reports in CSV/Excel.</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BG-10</w:t>
            </w:r>
          </w:p>
        </w:tc>
      </w:tr>
      <w:tr>
        <w:tc>
          <w:tcPr>
            <w:tcW w:type="dxa" w:w="864"/>
            <w:vAlign w:val="center"/>
          </w:tcPr>
          <w:p>
            <w:r/>
            <w:r>
              <w:rPr>
                <w:rFonts w:ascii="Calibri" w:hAnsi="Calibri"/>
                <w:color w:val="0F172A"/>
                <w:sz w:val="20"/>
              </w:rPr>
              <w:t>BR-016</w:t>
            </w:r>
          </w:p>
        </w:tc>
        <w:tc>
          <w:tcPr>
            <w:tcW w:type="dxa" w:w="1368"/>
            <w:vAlign w:val="center"/>
          </w:tcPr>
          <w:p>
            <w:r/>
            <w:r>
              <w:rPr>
                <w:rFonts w:ascii="Calibri" w:hAnsi="Calibri"/>
                <w:color w:val="0F172A"/>
                <w:sz w:val="20"/>
              </w:rPr>
              <w:t>Reports</w:t>
            </w:r>
          </w:p>
        </w:tc>
        <w:tc>
          <w:tcPr>
            <w:tcW w:type="dxa" w:w="4608"/>
            <w:vAlign w:val="center"/>
          </w:tcPr>
          <w:p>
            <w:r/>
            <w:r>
              <w:rPr>
                <w:rFonts w:ascii="Calibri" w:hAnsi="Calibri"/>
                <w:color w:val="0F172A"/>
                <w:sz w:val="20"/>
              </w:rPr>
              <w:t>Leadership shall view real-time dashboards by department, role, and project.</w:t>
            </w:r>
          </w:p>
        </w:tc>
        <w:tc>
          <w:tcPr>
            <w:tcW w:type="dxa" w:w="1008"/>
            <w:vAlign w:val="center"/>
          </w:tcPr>
          <w:p>
            <w:r/>
            <w:r>
              <w:rPr>
                <w:rFonts w:ascii="Calibri" w:hAnsi="Calibri"/>
                <w:color w:val="0F172A"/>
                <w:sz w:val="20"/>
              </w:rPr>
              <w:t>Should</w:t>
            </w:r>
          </w:p>
        </w:tc>
        <w:tc>
          <w:tcPr>
            <w:tcW w:type="dxa" w:w="864"/>
            <w:vAlign w:val="center"/>
          </w:tcPr>
          <w:p>
            <w:r/>
            <w:r>
              <w:rPr>
                <w:rFonts w:ascii="Calibri" w:hAnsi="Calibri"/>
                <w:color w:val="0F172A"/>
                <w:sz w:val="20"/>
              </w:rPr>
              <w:t>BG-10</w:t>
            </w:r>
          </w:p>
        </w:tc>
      </w:tr>
      <w:tr>
        <w:tc>
          <w:tcPr>
            <w:tcW w:type="dxa" w:w="864"/>
            <w:vAlign w:val="center"/>
            <w:shd w:val="clear" w:color="auto" w:fill="F1F5F9"/>
          </w:tcPr>
          <w:p>
            <w:r/>
            <w:r>
              <w:rPr>
                <w:rFonts w:ascii="Calibri" w:hAnsi="Calibri"/>
                <w:color w:val="0F172A"/>
                <w:sz w:val="20"/>
              </w:rPr>
              <w:t>BR-017</w:t>
            </w:r>
          </w:p>
        </w:tc>
        <w:tc>
          <w:tcPr>
            <w:tcW w:type="dxa" w:w="1368"/>
            <w:vAlign w:val="center"/>
            <w:shd w:val="clear" w:color="auto" w:fill="F1F5F9"/>
          </w:tcPr>
          <w:p>
            <w:r/>
            <w:r>
              <w:rPr>
                <w:rFonts w:ascii="Calibri" w:hAnsi="Calibri"/>
                <w:color w:val="0F172A"/>
                <w:sz w:val="20"/>
              </w:rPr>
              <w:t>Notifications</w:t>
            </w:r>
          </w:p>
        </w:tc>
        <w:tc>
          <w:tcPr>
            <w:tcW w:type="dxa" w:w="4608"/>
            <w:vAlign w:val="center"/>
            <w:shd w:val="clear" w:color="auto" w:fill="F1F5F9"/>
          </w:tcPr>
          <w:p>
            <w:r/>
            <w:r>
              <w:rPr>
                <w:rFonts w:ascii="Calibri" w:hAnsi="Calibri"/>
                <w:color w:val="0F172A"/>
                <w:sz w:val="20"/>
              </w:rPr>
              <w:t>All approval-driven workflows shall produce in-app and email notifications.</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BG-03</w:t>
            </w:r>
          </w:p>
        </w:tc>
      </w:tr>
      <w:tr>
        <w:tc>
          <w:tcPr>
            <w:tcW w:type="dxa" w:w="864"/>
            <w:vAlign w:val="center"/>
          </w:tcPr>
          <w:p>
            <w:r/>
            <w:r>
              <w:rPr>
                <w:rFonts w:ascii="Calibri" w:hAnsi="Calibri"/>
                <w:color w:val="0F172A"/>
                <w:sz w:val="20"/>
              </w:rPr>
              <w:t>BR-018</w:t>
            </w:r>
          </w:p>
        </w:tc>
        <w:tc>
          <w:tcPr>
            <w:tcW w:type="dxa" w:w="1368"/>
            <w:vAlign w:val="center"/>
          </w:tcPr>
          <w:p>
            <w:r/>
            <w:r>
              <w:rPr>
                <w:rFonts w:ascii="Calibri" w:hAnsi="Calibri"/>
                <w:color w:val="0F172A"/>
                <w:sz w:val="20"/>
              </w:rPr>
              <w:t>Audit</w:t>
            </w:r>
          </w:p>
        </w:tc>
        <w:tc>
          <w:tcPr>
            <w:tcW w:type="dxa" w:w="4608"/>
            <w:vAlign w:val="center"/>
          </w:tcPr>
          <w:p>
            <w:r/>
            <w:r>
              <w:rPr>
                <w:rFonts w:ascii="Calibri" w:hAnsi="Calibri"/>
                <w:color w:val="0F172A"/>
                <w:sz w:val="20"/>
              </w:rPr>
              <w:t>Every state-changing action shall be recorded in an immutable audit log retained ≥ 7 years.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BG-06</w:t>
            </w:r>
          </w:p>
        </w:tc>
      </w:tr>
      <w:tr>
        <w:tc>
          <w:tcPr>
            <w:tcW w:type="dxa" w:w="864"/>
            <w:vAlign w:val="center"/>
            <w:shd w:val="clear" w:color="auto" w:fill="F1F5F9"/>
          </w:tcPr>
          <w:p>
            <w:r/>
            <w:r>
              <w:rPr>
                <w:rFonts w:ascii="Calibri" w:hAnsi="Calibri"/>
                <w:color w:val="0F172A"/>
                <w:sz w:val="20"/>
              </w:rPr>
              <w:t>BR-019</w:t>
            </w:r>
          </w:p>
        </w:tc>
        <w:tc>
          <w:tcPr>
            <w:tcW w:type="dxa" w:w="1368"/>
            <w:vAlign w:val="center"/>
            <w:shd w:val="clear" w:color="auto" w:fill="F1F5F9"/>
          </w:tcPr>
          <w:p>
            <w:r/>
            <w:r>
              <w:rPr>
                <w:rFonts w:ascii="Calibri" w:hAnsi="Calibri"/>
                <w:color w:val="0F172A"/>
                <w:sz w:val="20"/>
              </w:rPr>
              <w:t>Security</w:t>
            </w:r>
          </w:p>
        </w:tc>
        <w:tc>
          <w:tcPr>
            <w:tcW w:type="dxa" w:w="4608"/>
            <w:vAlign w:val="center"/>
            <w:shd w:val="clear" w:color="auto" w:fill="F1F5F9"/>
          </w:tcPr>
          <w:p>
            <w:r/>
            <w:r>
              <w:rPr>
                <w:rFonts w:ascii="Calibri" w:hAnsi="Calibri"/>
                <w:color w:val="0F172A"/>
                <w:sz w:val="20"/>
              </w:rPr>
              <w:t>Passwords shall be hashed using a modern adaptive algorithm; PII encrypted at rest.</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BG-06</w:t>
            </w:r>
          </w:p>
        </w:tc>
      </w:tr>
      <w:tr>
        <w:tc>
          <w:tcPr>
            <w:tcW w:type="dxa" w:w="864"/>
            <w:vAlign w:val="center"/>
          </w:tcPr>
          <w:p>
            <w:r/>
            <w:r>
              <w:rPr>
                <w:rFonts w:ascii="Calibri" w:hAnsi="Calibri"/>
                <w:color w:val="0F172A"/>
                <w:sz w:val="20"/>
              </w:rPr>
              <w:t>BR-020</w:t>
            </w:r>
          </w:p>
        </w:tc>
        <w:tc>
          <w:tcPr>
            <w:tcW w:type="dxa" w:w="1368"/>
            <w:vAlign w:val="center"/>
          </w:tcPr>
          <w:p>
            <w:r/>
            <w:r>
              <w:rPr>
                <w:rFonts w:ascii="Calibri" w:hAnsi="Calibri"/>
                <w:color w:val="0F172A"/>
                <w:sz w:val="20"/>
              </w:rPr>
              <w:t>Security</w:t>
            </w:r>
          </w:p>
        </w:tc>
        <w:tc>
          <w:tcPr>
            <w:tcW w:type="dxa" w:w="4608"/>
            <w:vAlign w:val="center"/>
          </w:tcPr>
          <w:p>
            <w:r/>
            <w:r>
              <w:rPr>
                <w:rFonts w:ascii="Calibri" w:hAnsi="Calibri"/>
                <w:color w:val="0F172A"/>
                <w:sz w:val="20"/>
              </w:rPr>
              <w:t>Failed login attempts shall be rate-limited and lock accounts after 5 consecutive failures.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BG-06</w:t>
            </w:r>
          </w:p>
        </w:tc>
      </w:tr>
      <w:tr>
        <w:tc>
          <w:tcPr>
            <w:tcW w:type="dxa" w:w="864"/>
            <w:vAlign w:val="center"/>
            <w:shd w:val="clear" w:color="auto" w:fill="F1F5F9"/>
          </w:tcPr>
          <w:p>
            <w:r/>
            <w:r>
              <w:rPr>
                <w:rFonts w:ascii="Calibri" w:hAnsi="Calibri"/>
                <w:color w:val="0F172A"/>
                <w:sz w:val="20"/>
              </w:rPr>
              <w:t>BR-021</w:t>
            </w:r>
          </w:p>
        </w:tc>
        <w:tc>
          <w:tcPr>
            <w:tcW w:type="dxa" w:w="1368"/>
            <w:vAlign w:val="center"/>
            <w:shd w:val="clear" w:color="auto" w:fill="F1F5F9"/>
          </w:tcPr>
          <w:p>
            <w:r/>
            <w:r>
              <w:rPr>
                <w:rFonts w:ascii="Calibri" w:hAnsi="Calibri"/>
                <w:color w:val="0F172A"/>
                <w:sz w:val="20"/>
              </w:rPr>
              <w:t>Availability</w:t>
            </w:r>
          </w:p>
        </w:tc>
        <w:tc>
          <w:tcPr>
            <w:tcW w:type="dxa" w:w="4608"/>
            <w:vAlign w:val="center"/>
            <w:shd w:val="clear" w:color="auto" w:fill="F1F5F9"/>
          </w:tcPr>
          <w:p>
            <w:r/>
            <w:r>
              <w:rPr>
                <w:rFonts w:ascii="Calibri" w:hAnsi="Calibri"/>
                <w:color w:val="0F172A"/>
                <w:sz w:val="20"/>
              </w:rPr>
              <w:t>The platform shall maintain ≥ 99.9% monthly uptime.</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BG-09</w:t>
            </w:r>
          </w:p>
        </w:tc>
      </w:tr>
      <w:tr>
        <w:tc>
          <w:tcPr>
            <w:tcW w:type="dxa" w:w="864"/>
            <w:vAlign w:val="center"/>
          </w:tcPr>
          <w:p>
            <w:r/>
            <w:r>
              <w:rPr>
                <w:rFonts w:ascii="Calibri" w:hAnsi="Calibri"/>
                <w:color w:val="0F172A"/>
                <w:sz w:val="20"/>
              </w:rPr>
              <w:t>BR-022</w:t>
            </w:r>
          </w:p>
        </w:tc>
        <w:tc>
          <w:tcPr>
            <w:tcW w:type="dxa" w:w="1368"/>
            <w:vAlign w:val="center"/>
          </w:tcPr>
          <w:p>
            <w:r/>
            <w:r>
              <w:rPr>
                <w:rFonts w:ascii="Calibri" w:hAnsi="Calibri"/>
                <w:color w:val="0F172A"/>
                <w:sz w:val="20"/>
              </w:rPr>
              <w:t>Performance</w:t>
            </w:r>
          </w:p>
        </w:tc>
        <w:tc>
          <w:tcPr>
            <w:tcW w:type="dxa" w:w="4608"/>
            <w:vAlign w:val="center"/>
          </w:tcPr>
          <w:p>
            <w:r/>
            <w:r>
              <w:rPr>
                <w:rFonts w:ascii="Calibri" w:hAnsi="Calibri"/>
                <w:color w:val="0F172A"/>
                <w:sz w:val="20"/>
              </w:rPr>
              <w:t>95% of API requests shall return in under 500 ms under normal load.</w:t>
            </w:r>
          </w:p>
        </w:tc>
        <w:tc>
          <w:tcPr>
            <w:tcW w:type="dxa" w:w="1008"/>
            <w:vAlign w:val="center"/>
          </w:tcPr>
          <w:p>
            <w:r/>
            <w:r>
              <w:rPr>
                <w:rFonts w:ascii="Calibri" w:hAnsi="Calibri"/>
                <w:color w:val="0F172A"/>
                <w:sz w:val="20"/>
              </w:rPr>
              <w:t>Should</w:t>
            </w:r>
          </w:p>
        </w:tc>
        <w:tc>
          <w:tcPr>
            <w:tcW w:type="dxa" w:w="864"/>
            <w:vAlign w:val="center"/>
          </w:tcPr>
          <w:p>
            <w:r/>
            <w:r>
              <w:rPr>
                <w:rFonts w:ascii="Calibri" w:hAnsi="Calibri"/>
                <w:color w:val="0F172A"/>
                <w:sz w:val="20"/>
              </w:rPr>
              <w:t>BG-09</w:t>
            </w:r>
          </w:p>
        </w:tc>
      </w:tr>
      <w:tr>
        <w:tc>
          <w:tcPr>
            <w:tcW w:type="dxa" w:w="864"/>
            <w:vAlign w:val="center"/>
            <w:shd w:val="clear" w:color="auto" w:fill="F1F5F9"/>
          </w:tcPr>
          <w:p>
            <w:r/>
            <w:r>
              <w:rPr>
                <w:rFonts w:ascii="Calibri" w:hAnsi="Calibri"/>
                <w:color w:val="0F172A"/>
                <w:sz w:val="20"/>
              </w:rPr>
              <w:t>BR-023</w:t>
            </w:r>
          </w:p>
        </w:tc>
        <w:tc>
          <w:tcPr>
            <w:tcW w:type="dxa" w:w="1368"/>
            <w:vAlign w:val="center"/>
            <w:shd w:val="clear" w:color="auto" w:fill="F1F5F9"/>
          </w:tcPr>
          <w:p>
            <w:r/>
            <w:r>
              <w:rPr>
                <w:rFonts w:ascii="Calibri" w:hAnsi="Calibri"/>
                <w:color w:val="0F172A"/>
                <w:sz w:val="20"/>
              </w:rPr>
              <w:t>Usability</w:t>
            </w:r>
          </w:p>
        </w:tc>
        <w:tc>
          <w:tcPr>
            <w:tcW w:type="dxa" w:w="4608"/>
            <w:vAlign w:val="center"/>
            <w:shd w:val="clear" w:color="auto" w:fill="F1F5F9"/>
          </w:tcPr>
          <w:p>
            <w:r/>
            <w:r>
              <w:rPr>
                <w:rFonts w:ascii="Calibri" w:hAnsi="Calibri"/>
                <w:color w:val="0F172A"/>
                <w:sz w:val="20"/>
              </w:rPr>
              <w:t>The UI shall be fully responsive and meet WCAG 2.1 AA accessibility.</w:t>
            </w:r>
          </w:p>
        </w:tc>
        <w:tc>
          <w:tcPr>
            <w:tcW w:type="dxa" w:w="1008"/>
            <w:vAlign w:val="center"/>
            <w:shd w:val="clear" w:color="auto" w:fill="F1F5F9"/>
          </w:tcPr>
          <w:p>
            <w:r/>
            <w:r>
              <w:rPr>
                <w:rFonts w:ascii="Calibri" w:hAnsi="Calibri"/>
                <w:color w:val="0F172A"/>
                <w:sz w:val="20"/>
              </w:rPr>
              <w:t>Should</w:t>
            </w:r>
          </w:p>
        </w:tc>
        <w:tc>
          <w:tcPr>
            <w:tcW w:type="dxa" w:w="864"/>
            <w:vAlign w:val="center"/>
            <w:shd w:val="clear" w:color="auto" w:fill="F1F5F9"/>
          </w:tcPr>
          <w:p>
            <w:r/>
            <w:r>
              <w:rPr>
                <w:rFonts w:ascii="Calibri" w:hAnsi="Calibri"/>
                <w:color w:val="0F172A"/>
                <w:sz w:val="20"/>
              </w:rPr>
              <w:t>BG-07</w:t>
            </w:r>
          </w:p>
        </w:tc>
      </w:tr>
      <w:tr>
        <w:tc>
          <w:tcPr>
            <w:tcW w:type="dxa" w:w="864"/>
            <w:vAlign w:val="center"/>
          </w:tcPr>
          <w:p>
            <w:r/>
            <w:r>
              <w:rPr>
                <w:rFonts w:ascii="Calibri" w:hAnsi="Calibri"/>
                <w:color w:val="0F172A"/>
                <w:sz w:val="20"/>
              </w:rPr>
              <w:t>BR-024</w:t>
            </w:r>
          </w:p>
        </w:tc>
        <w:tc>
          <w:tcPr>
            <w:tcW w:type="dxa" w:w="1368"/>
            <w:vAlign w:val="center"/>
          </w:tcPr>
          <w:p>
            <w:r/>
            <w:r>
              <w:rPr>
                <w:rFonts w:ascii="Calibri" w:hAnsi="Calibri"/>
                <w:color w:val="0F172A"/>
                <w:sz w:val="20"/>
              </w:rPr>
              <w:t>Self-service</w:t>
            </w:r>
          </w:p>
        </w:tc>
        <w:tc>
          <w:tcPr>
            <w:tcW w:type="dxa" w:w="4608"/>
            <w:vAlign w:val="center"/>
          </w:tcPr>
          <w:p>
            <w:r/>
            <w:r>
              <w:rPr>
                <w:rFonts w:ascii="Calibri" w:hAnsi="Calibri"/>
                <w:color w:val="0F172A"/>
                <w:sz w:val="20"/>
              </w:rPr>
              <w:t>Employees shall accomplish all routine HR actions without HR intervention.</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BG-05</w:t>
            </w:r>
          </w:p>
        </w:tc>
      </w:tr>
      <w:tr>
        <w:tc>
          <w:tcPr>
            <w:tcW w:type="dxa" w:w="864"/>
            <w:vAlign w:val="center"/>
            <w:shd w:val="clear" w:color="auto" w:fill="F1F5F9"/>
          </w:tcPr>
          <w:p>
            <w:r/>
            <w:r>
              <w:rPr>
                <w:rFonts w:ascii="Calibri" w:hAnsi="Calibri"/>
                <w:color w:val="0F172A"/>
                <w:sz w:val="20"/>
              </w:rPr>
              <w:t>BR-025</w:t>
            </w:r>
          </w:p>
        </w:tc>
        <w:tc>
          <w:tcPr>
            <w:tcW w:type="dxa" w:w="1368"/>
            <w:vAlign w:val="center"/>
            <w:shd w:val="clear" w:color="auto" w:fill="F1F5F9"/>
          </w:tcPr>
          <w:p>
            <w:r/>
            <w:r>
              <w:rPr>
                <w:rFonts w:ascii="Calibri" w:hAnsi="Calibri"/>
                <w:color w:val="0F172A"/>
                <w:sz w:val="20"/>
              </w:rPr>
              <w:t>Integrations</w:t>
            </w:r>
          </w:p>
        </w:tc>
        <w:tc>
          <w:tcPr>
            <w:tcW w:type="dxa" w:w="4608"/>
            <w:vAlign w:val="center"/>
            <w:shd w:val="clear" w:color="auto" w:fill="F1F5F9"/>
          </w:tcPr>
          <w:p>
            <w:r/>
            <w:r>
              <w:rPr>
                <w:rFonts w:ascii="Calibri" w:hAnsi="Calibri"/>
                <w:color w:val="0F172A"/>
                <w:sz w:val="20"/>
              </w:rPr>
              <w:t>The platform shall expose REST APIs for payroll, SSO, and BI tools.</w:t>
            </w:r>
          </w:p>
        </w:tc>
        <w:tc>
          <w:tcPr>
            <w:tcW w:type="dxa" w:w="1008"/>
            <w:vAlign w:val="center"/>
            <w:shd w:val="clear" w:color="auto" w:fill="F1F5F9"/>
          </w:tcPr>
          <w:p>
            <w:r/>
            <w:r>
              <w:rPr>
                <w:rFonts w:ascii="Calibri" w:hAnsi="Calibri"/>
                <w:color w:val="0F172A"/>
                <w:sz w:val="20"/>
              </w:rPr>
              <w:t>Should</w:t>
            </w:r>
          </w:p>
        </w:tc>
        <w:tc>
          <w:tcPr>
            <w:tcW w:type="dxa" w:w="864"/>
            <w:vAlign w:val="center"/>
            <w:shd w:val="clear" w:color="auto" w:fill="F1F5F9"/>
          </w:tcPr>
          <w:p>
            <w:r/>
            <w:r>
              <w:rPr>
                <w:rFonts w:ascii="Calibri" w:hAnsi="Calibri"/>
                <w:color w:val="0F172A"/>
                <w:sz w:val="20"/>
              </w:rPr>
              <w:t>BG-08</w:t>
            </w:r>
          </w:p>
        </w:tc>
      </w:tr>
      <w:tr>
        <w:tc>
          <w:tcPr>
            <w:tcW w:type="dxa" w:w="864"/>
            <w:vAlign w:val="center"/>
          </w:tcPr>
          <w:p>
            <w:r/>
            <w:r>
              <w:rPr>
                <w:rFonts w:ascii="Calibri" w:hAnsi="Calibri"/>
                <w:color w:val="0F172A"/>
                <w:sz w:val="20"/>
              </w:rPr>
              <w:t>BR-026</w:t>
            </w:r>
          </w:p>
        </w:tc>
        <w:tc>
          <w:tcPr>
            <w:tcW w:type="dxa" w:w="1368"/>
            <w:vAlign w:val="center"/>
          </w:tcPr>
          <w:p>
            <w:r/>
            <w:r>
              <w:rPr>
                <w:rFonts w:ascii="Calibri" w:hAnsi="Calibri"/>
                <w:color w:val="0F172A"/>
                <w:sz w:val="20"/>
              </w:rPr>
              <w:t>Compliance</w:t>
            </w:r>
          </w:p>
        </w:tc>
        <w:tc>
          <w:tcPr>
            <w:tcW w:type="dxa" w:w="4608"/>
            <w:vAlign w:val="center"/>
          </w:tcPr>
          <w:p>
            <w:r/>
            <w:r>
              <w:rPr>
                <w:rFonts w:ascii="Calibri" w:hAnsi="Calibri"/>
                <w:color w:val="0F172A"/>
                <w:sz w:val="20"/>
              </w:rPr>
              <w:t>The platform shall provide data export and deletion capabilities to satisfy data subject rights.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BG-06</w:t>
            </w:r>
          </w:p>
        </w:tc>
      </w:tr>
      <w:tr>
        <w:tc>
          <w:tcPr>
            <w:tcW w:type="dxa" w:w="864"/>
            <w:vAlign w:val="center"/>
            <w:shd w:val="clear" w:color="auto" w:fill="F1F5F9"/>
          </w:tcPr>
          <w:p>
            <w:r/>
            <w:r>
              <w:rPr>
                <w:rFonts w:ascii="Calibri" w:hAnsi="Calibri"/>
                <w:color w:val="0F172A"/>
                <w:sz w:val="20"/>
              </w:rPr>
              <w:t>BR-027</w:t>
            </w:r>
          </w:p>
        </w:tc>
        <w:tc>
          <w:tcPr>
            <w:tcW w:type="dxa" w:w="1368"/>
            <w:vAlign w:val="center"/>
            <w:shd w:val="clear" w:color="auto" w:fill="F1F5F9"/>
          </w:tcPr>
          <w:p>
            <w:r/>
            <w:r>
              <w:rPr>
                <w:rFonts w:ascii="Calibri" w:hAnsi="Calibri"/>
                <w:color w:val="0F172A"/>
                <w:sz w:val="20"/>
              </w:rPr>
              <w:t>Localization</w:t>
            </w:r>
          </w:p>
        </w:tc>
        <w:tc>
          <w:tcPr>
            <w:tcW w:type="dxa" w:w="4608"/>
            <w:vAlign w:val="center"/>
            <w:shd w:val="clear" w:color="auto" w:fill="F1F5F9"/>
          </w:tcPr>
          <w:p>
            <w:r/>
            <w:r>
              <w:rPr>
                <w:rFonts w:ascii="Calibri" w:hAnsi="Calibri"/>
                <w:color w:val="0F172A"/>
                <w:sz w:val="20"/>
              </w:rPr>
              <w:t>Time zones shall default to America/New_York with per-employee override.</w:t>
            </w:r>
          </w:p>
        </w:tc>
        <w:tc>
          <w:tcPr>
            <w:tcW w:type="dxa" w:w="1008"/>
            <w:vAlign w:val="center"/>
            <w:shd w:val="clear" w:color="auto" w:fill="F1F5F9"/>
          </w:tcPr>
          <w:p>
            <w:r/>
            <w:r>
              <w:rPr>
                <w:rFonts w:ascii="Calibri" w:hAnsi="Calibri"/>
                <w:color w:val="0F172A"/>
                <w:sz w:val="20"/>
              </w:rPr>
              <w:t>Should</w:t>
            </w:r>
          </w:p>
        </w:tc>
        <w:tc>
          <w:tcPr>
            <w:tcW w:type="dxa" w:w="864"/>
            <w:vAlign w:val="center"/>
            <w:shd w:val="clear" w:color="auto" w:fill="F1F5F9"/>
          </w:tcPr>
          <w:p>
            <w:r/>
            <w:r>
              <w:rPr>
                <w:rFonts w:ascii="Calibri" w:hAnsi="Calibri"/>
                <w:color w:val="0F172A"/>
                <w:sz w:val="20"/>
              </w:rPr>
              <w:t>BG-07</w:t>
            </w:r>
          </w:p>
        </w:tc>
      </w:tr>
      <w:tr>
        <w:tc>
          <w:tcPr>
            <w:tcW w:type="dxa" w:w="864"/>
            <w:vAlign w:val="center"/>
          </w:tcPr>
          <w:p>
            <w:r/>
            <w:r>
              <w:rPr>
                <w:rFonts w:ascii="Calibri" w:hAnsi="Calibri"/>
                <w:color w:val="0F172A"/>
                <w:sz w:val="20"/>
              </w:rPr>
              <w:t>BR-028</w:t>
            </w:r>
          </w:p>
        </w:tc>
        <w:tc>
          <w:tcPr>
            <w:tcW w:type="dxa" w:w="1368"/>
            <w:vAlign w:val="center"/>
          </w:tcPr>
          <w:p>
            <w:r/>
            <w:r>
              <w:rPr>
                <w:rFonts w:ascii="Calibri" w:hAnsi="Calibri"/>
                <w:color w:val="0F172A"/>
                <w:sz w:val="20"/>
              </w:rPr>
              <w:t>Mobile</w:t>
            </w:r>
          </w:p>
        </w:tc>
        <w:tc>
          <w:tcPr>
            <w:tcW w:type="dxa" w:w="4608"/>
            <w:vAlign w:val="center"/>
          </w:tcPr>
          <w:p>
            <w:r/>
            <w:r>
              <w:rPr>
                <w:rFonts w:ascii="Calibri" w:hAnsi="Calibri"/>
                <w:color w:val="0F172A"/>
                <w:sz w:val="20"/>
              </w:rPr>
              <w:t>All employee-facing flows shall be usable on mobile browsers (≥ 360 px width).</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BG-07</w:t>
            </w:r>
          </w:p>
        </w:tc>
      </w:tr>
      <w:tr>
        <w:tc>
          <w:tcPr>
            <w:tcW w:type="dxa" w:w="864"/>
            <w:vAlign w:val="center"/>
            <w:shd w:val="clear" w:color="auto" w:fill="F1F5F9"/>
          </w:tcPr>
          <w:p>
            <w:r/>
            <w:r>
              <w:rPr>
                <w:rFonts w:ascii="Calibri" w:hAnsi="Calibri"/>
                <w:color w:val="0F172A"/>
                <w:sz w:val="20"/>
              </w:rPr>
              <w:t>BR-029</w:t>
            </w:r>
          </w:p>
        </w:tc>
        <w:tc>
          <w:tcPr>
            <w:tcW w:type="dxa" w:w="1368"/>
            <w:vAlign w:val="center"/>
            <w:shd w:val="clear" w:color="auto" w:fill="F1F5F9"/>
          </w:tcPr>
          <w:p>
            <w:r/>
            <w:r>
              <w:rPr>
                <w:rFonts w:ascii="Calibri" w:hAnsi="Calibri"/>
                <w:color w:val="0F172A"/>
                <w:sz w:val="20"/>
              </w:rPr>
              <w:t>Tenant Isolation</w:t>
            </w:r>
          </w:p>
        </w:tc>
        <w:tc>
          <w:tcPr>
            <w:tcW w:type="dxa" w:w="4608"/>
            <w:vAlign w:val="center"/>
            <w:shd w:val="clear" w:color="auto" w:fill="F1F5F9"/>
          </w:tcPr>
          <w:p>
            <w:r/>
            <w:r>
              <w:rPr>
                <w:rFonts w:ascii="Calibri" w:hAnsi="Calibri"/>
                <w:color w:val="0F172A"/>
                <w:sz w:val="20"/>
              </w:rPr>
              <w:t>No data of any other tenant shall be accessible from the perfectsolutions tenant.</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BG-06</w:t>
            </w:r>
          </w:p>
        </w:tc>
      </w:tr>
      <w:tr>
        <w:tc>
          <w:tcPr>
            <w:tcW w:type="dxa" w:w="864"/>
            <w:vAlign w:val="center"/>
          </w:tcPr>
          <w:p>
            <w:r/>
            <w:r>
              <w:rPr>
                <w:rFonts w:ascii="Calibri" w:hAnsi="Calibri"/>
                <w:color w:val="0F172A"/>
                <w:sz w:val="20"/>
              </w:rPr>
              <w:t>BR-030</w:t>
            </w:r>
          </w:p>
        </w:tc>
        <w:tc>
          <w:tcPr>
            <w:tcW w:type="dxa" w:w="1368"/>
            <w:vAlign w:val="center"/>
          </w:tcPr>
          <w:p>
            <w:r/>
            <w:r>
              <w:rPr>
                <w:rFonts w:ascii="Calibri" w:hAnsi="Calibri"/>
                <w:color w:val="0F172A"/>
                <w:sz w:val="20"/>
              </w:rPr>
              <w:t>Disaster Recovery</w:t>
            </w:r>
          </w:p>
        </w:tc>
        <w:tc>
          <w:tcPr>
            <w:tcW w:type="dxa" w:w="4608"/>
            <w:vAlign w:val="center"/>
          </w:tcPr>
          <w:p>
            <w:r/>
            <w:r>
              <w:rPr>
                <w:rFonts w:ascii="Calibri" w:hAnsi="Calibri"/>
                <w:color w:val="0F172A"/>
                <w:sz w:val="20"/>
              </w:rPr>
              <w:t>RPO ≤ 1 hour, RTO ≤ 4 hours.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BG-09</w:t>
            </w:r>
          </w:p>
        </w:tc>
      </w:tr>
    </w:tbl>
    <w:p>
      <w:r>
        <w:br w:type="page"/>
      </w:r>
    </w:p>
    <w:p>
      <w:pPr>
        <w:spacing w:before="280" w:after="120"/>
        <w:pBdr>
          <w:bottom w:val="single" w:sz="8" w:color="1E3A8A"/>
        </w:pBdr>
      </w:pPr>
      <w:r>
        <w:rPr>
          <w:rFonts w:ascii="Calibri" w:hAnsi="Calibri"/>
          <w:b/>
          <w:color w:val="1E3A8A"/>
          <w:sz w:val="36"/>
        </w:rPr>
        <w:t>9. Risk Analysis &amp; Mitigation</w:t>
      </w:r>
    </w:p>
    <w:p>
      <w:pPr>
        <w:spacing w:after="80"/>
      </w:pPr>
      <w:r>
        <w:rPr>
          <w:rFonts w:ascii="Calibri" w:hAnsi="Calibri"/>
          <w:b w:val="0"/>
          <w:i w:val="0"/>
          <w:color w:val="0F172A"/>
          <w:sz w:val="22"/>
        </w:rPr>
        <w:t>Risks are scored on Likelihood (L) and Impact (I) on a 1–5 scale. Risk Score = L × I. Risks scoring ≥ 12 are tracked weekly by the steering committee.</w:t>
      </w:r>
    </w:p>
    <w:tbl>
      <w:tblPr>
        <w:tblStyle w:val="LightGrid-Accent1"/>
        <w:tblW w:type="auto" w:w="0"/>
        <w:tblLayout w:type="fixed"/>
        <w:tblLook w:firstColumn="1" w:firstRow="1" w:lastColumn="0" w:lastRow="0" w:noHBand="0" w:noVBand="1" w:val="04A0"/>
      </w:tblPr>
      <w:tblGrid>
        <w:gridCol w:w="1425"/>
        <w:gridCol w:w="1425"/>
        <w:gridCol w:w="1425"/>
        <w:gridCol w:w="1425"/>
        <w:gridCol w:w="1425"/>
        <w:gridCol w:w="1425"/>
        <w:gridCol w:w="1425"/>
      </w:tblGrid>
      <w:tr>
        <w:tc>
          <w:tcPr>
            <w:tcW w:type="dxa" w:w="720"/>
            <w:shd w:val="clear" w:color="auto" w:fill="1E3A8A"/>
            <w:vAlign w:val="center"/>
          </w:tcPr>
          <w:p>
            <w:r/>
            <w:r>
              <w:rPr>
                <w:rFonts w:ascii="Calibri" w:hAnsi="Calibri"/>
                <w:b/>
                <w:color w:val="FFFFFF"/>
                <w:sz w:val="21"/>
              </w:rPr>
              <w:t>ID</w:t>
            </w:r>
          </w:p>
        </w:tc>
        <w:tc>
          <w:tcPr>
            <w:tcW w:type="dxa" w:w="2880"/>
            <w:shd w:val="clear" w:color="auto" w:fill="1E3A8A"/>
            <w:vAlign w:val="center"/>
          </w:tcPr>
          <w:p>
            <w:r/>
            <w:r>
              <w:rPr>
                <w:rFonts w:ascii="Calibri" w:hAnsi="Calibri"/>
                <w:b/>
                <w:color w:val="FFFFFF"/>
                <w:sz w:val="21"/>
              </w:rPr>
              <w:t>Risk</w:t>
            </w:r>
          </w:p>
        </w:tc>
        <w:tc>
          <w:tcPr>
            <w:tcW w:type="dxa" w:w="576"/>
            <w:shd w:val="clear" w:color="auto" w:fill="1E3A8A"/>
            <w:vAlign w:val="center"/>
          </w:tcPr>
          <w:p>
            <w:r/>
            <w:r>
              <w:rPr>
                <w:rFonts w:ascii="Calibri" w:hAnsi="Calibri"/>
                <w:b/>
                <w:color w:val="FFFFFF"/>
                <w:sz w:val="21"/>
              </w:rPr>
              <w:t>L</w:t>
            </w:r>
          </w:p>
        </w:tc>
        <w:tc>
          <w:tcPr>
            <w:tcW w:type="dxa" w:w="576"/>
            <w:shd w:val="clear" w:color="auto" w:fill="1E3A8A"/>
            <w:vAlign w:val="center"/>
          </w:tcPr>
          <w:p>
            <w:r/>
            <w:r>
              <w:rPr>
                <w:rFonts w:ascii="Calibri" w:hAnsi="Calibri"/>
                <w:b/>
                <w:color w:val="FFFFFF"/>
                <w:sz w:val="21"/>
              </w:rPr>
              <w:t>I</w:t>
            </w:r>
          </w:p>
        </w:tc>
        <w:tc>
          <w:tcPr>
            <w:tcW w:type="dxa" w:w="864"/>
            <w:shd w:val="clear" w:color="auto" w:fill="1E3A8A"/>
            <w:vAlign w:val="center"/>
          </w:tcPr>
          <w:p>
            <w:r/>
            <w:r>
              <w:rPr>
                <w:rFonts w:ascii="Calibri" w:hAnsi="Calibri"/>
                <w:b/>
                <w:color w:val="FFFFFF"/>
                <w:sz w:val="21"/>
              </w:rPr>
              <w:t>Score</w:t>
            </w:r>
          </w:p>
        </w:tc>
        <w:tc>
          <w:tcPr>
            <w:tcW w:type="dxa" w:w="3168"/>
            <w:shd w:val="clear" w:color="auto" w:fill="1E3A8A"/>
            <w:vAlign w:val="center"/>
          </w:tcPr>
          <w:p>
            <w:r/>
            <w:r>
              <w:rPr>
                <w:rFonts w:ascii="Calibri" w:hAnsi="Calibri"/>
                <w:b/>
                <w:color w:val="FFFFFF"/>
                <w:sz w:val="21"/>
              </w:rPr>
              <w:t>Mitigation</w:t>
            </w:r>
          </w:p>
        </w:tc>
        <w:tc>
          <w:tcPr>
            <w:tcW w:type="dxa" w:w="864"/>
            <w:shd w:val="clear" w:color="auto" w:fill="1E3A8A"/>
            <w:vAlign w:val="center"/>
          </w:tcPr>
          <w:p>
            <w:r/>
            <w:r>
              <w:rPr>
                <w:rFonts w:ascii="Calibri" w:hAnsi="Calibri"/>
                <w:b/>
                <w:color w:val="FFFFFF"/>
                <w:sz w:val="21"/>
              </w:rPr>
              <w:t>Owner</w:t>
            </w:r>
          </w:p>
        </w:tc>
      </w:tr>
      <w:tr>
        <w:tc>
          <w:tcPr>
            <w:tcW w:type="dxa" w:w="720"/>
            <w:vAlign w:val="center"/>
            <w:shd w:val="clear" w:color="auto" w:fill="F1F5F9"/>
          </w:tcPr>
          <w:p>
            <w:r/>
            <w:r>
              <w:rPr>
                <w:rFonts w:ascii="Calibri" w:hAnsi="Calibri"/>
                <w:color w:val="0F172A"/>
                <w:sz w:val="20"/>
              </w:rPr>
              <w:t>R-01</w:t>
            </w:r>
          </w:p>
        </w:tc>
        <w:tc>
          <w:tcPr>
            <w:tcW w:type="dxa" w:w="2880"/>
            <w:vAlign w:val="center"/>
            <w:shd w:val="clear" w:color="auto" w:fill="F1F5F9"/>
          </w:tcPr>
          <w:p>
            <w:r/>
            <w:r>
              <w:rPr>
                <w:rFonts w:ascii="Calibri" w:hAnsi="Calibri"/>
                <w:color w:val="0F172A"/>
                <w:sz w:val="20"/>
              </w:rPr>
              <w:t>Resistance to change from long-tenured employees</w:t>
            </w:r>
          </w:p>
        </w:tc>
        <w:tc>
          <w:tcPr>
            <w:tcW w:type="dxa" w:w="576"/>
            <w:vAlign w:val="center"/>
            <w:shd w:val="clear" w:color="auto" w:fill="F1F5F9"/>
          </w:tcPr>
          <w:p>
            <w:r/>
            <w:r>
              <w:rPr>
                <w:rFonts w:ascii="Calibri" w:hAnsi="Calibri"/>
                <w:color w:val="0F172A"/>
                <w:sz w:val="20"/>
              </w:rPr>
              <w:t>3</w:t>
            </w:r>
          </w:p>
        </w:tc>
        <w:tc>
          <w:tcPr>
            <w:tcW w:type="dxa" w:w="576"/>
            <w:vAlign w:val="center"/>
            <w:shd w:val="clear" w:color="auto" w:fill="F1F5F9"/>
          </w:tcPr>
          <w:p>
            <w:r/>
            <w:r>
              <w:rPr>
                <w:rFonts w:ascii="Calibri" w:hAnsi="Calibri"/>
                <w:color w:val="0F172A"/>
                <w:sz w:val="20"/>
              </w:rPr>
              <w:t>4</w:t>
            </w:r>
          </w:p>
        </w:tc>
        <w:tc>
          <w:tcPr>
            <w:tcW w:type="dxa" w:w="864"/>
            <w:vAlign w:val="center"/>
            <w:shd w:val="clear" w:color="auto" w:fill="F1F5F9"/>
          </w:tcPr>
          <w:p>
            <w:r/>
            <w:r>
              <w:rPr>
                <w:rFonts w:ascii="Calibri" w:hAnsi="Calibri"/>
                <w:color w:val="0F172A"/>
                <w:sz w:val="20"/>
              </w:rPr>
              <w:t>12</w:t>
            </w:r>
          </w:p>
        </w:tc>
        <w:tc>
          <w:tcPr>
            <w:tcW w:type="dxa" w:w="3168"/>
            <w:vAlign w:val="center"/>
            <w:shd w:val="clear" w:color="auto" w:fill="F1F5F9"/>
          </w:tcPr>
          <w:p>
            <w:r/>
            <w:r>
              <w:rPr>
                <w:rFonts w:ascii="Calibri" w:hAnsi="Calibri"/>
                <w:color w:val="0F172A"/>
                <w:sz w:val="20"/>
              </w:rPr>
              <w:t>Change-management plan, executive sponsorship, hands-on training.</w:t>
            </w:r>
          </w:p>
        </w:tc>
        <w:tc>
          <w:tcPr>
            <w:tcW w:type="dxa" w:w="864"/>
            <w:vAlign w:val="center"/>
            <w:shd w:val="clear" w:color="auto" w:fill="F1F5F9"/>
          </w:tcPr>
          <w:p>
            <w:r/>
            <w:r>
              <w:rPr>
                <w:rFonts w:ascii="Calibri" w:hAnsi="Calibri"/>
                <w:color w:val="0F172A"/>
                <w:sz w:val="20"/>
              </w:rPr>
              <w:t>HR Lead</w:t>
            </w:r>
          </w:p>
        </w:tc>
      </w:tr>
      <w:tr>
        <w:tc>
          <w:tcPr>
            <w:tcW w:type="dxa" w:w="720"/>
            <w:vAlign w:val="center"/>
          </w:tcPr>
          <w:p>
            <w:r/>
            <w:r>
              <w:rPr>
                <w:rFonts w:ascii="Calibri" w:hAnsi="Calibri"/>
                <w:color w:val="0F172A"/>
                <w:sz w:val="20"/>
              </w:rPr>
              <w:t>R-02</w:t>
            </w:r>
          </w:p>
        </w:tc>
        <w:tc>
          <w:tcPr>
            <w:tcW w:type="dxa" w:w="2880"/>
            <w:vAlign w:val="center"/>
          </w:tcPr>
          <w:p>
            <w:r/>
            <w:r>
              <w:rPr>
                <w:rFonts w:ascii="Calibri" w:hAnsi="Calibri"/>
                <w:color w:val="0F172A"/>
                <w:sz w:val="20"/>
              </w:rPr>
              <w:t>Master-data quality issues delay migration</w:t>
            </w:r>
          </w:p>
        </w:tc>
        <w:tc>
          <w:tcPr>
            <w:tcW w:type="dxa" w:w="576"/>
            <w:vAlign w:val="center"/>
          </w:tcPr>
          <w:p>
            <w:r/>
            <w:r>
              <w:rPr>
                <w:rFonts w:ascii="Calibri" w:hAnsi="Calibri"/>
                <w:color w:val="0F172A"/>
                <w:sz w:val="20"/>
              </w:rPr>
              <w:t>4</w:t>
            </w:r>
          </w:p>
        </w:tc>
        <w:tc>
          <w:tcPr>
            <w:tcW w:type="dxa" w:w="576"/>
            <w:vAlign w:val="center"/>
          </w:tcPr>
          <w:p>
            <w:r/>
            <w:r>
              <w:rPr>
                <w:rFonts w:ascii="Calibri" w:hAnsi="Calibri"/>
                <w:color w:val="0F172A"/>
                <w:sz w:val="20"/>
              </w:rPr>
              <w:t>4</w:t>
            </w:r>
          </w:p>
        </w:tc>
        <w:tc>
          <w:tcPr>
            <w:tcW w:type="dxa" w:w="864"/>
            <w:vAlign w:val="center"/>
          </w:tcPr>
          <w:p>
            <w:r/>
            <w:r>
              <w:rPr>
                <w:rFonts w:ascii="Calibri" w:hAnsi="Calibri"/>
                <w:color w:val="0F172A"/>
                <w:sz w:val="20"/>
              </w:rPr>
              <w:t>16</w:t>
            </w:r>
          </w:p>
        </w:tc>
        <w:tc>
          <w:tcPr>
            <w:tcW w:type="dxa" w:w="3168"/>
            <w:vAlign w:val="center"/>
          </w:tcPr>
          <w:p>
            <w:r/>
            <w:r>
              <w:rPr>
                <w:rFonts w:ascii="Calibri" w:hAnsi="Calibri"/>
                <w:color w:val="0F172A"/>
                <w:sz w:val="20"/>
              </w:rPr>
              <w:t>Data-cleansing sprint and phased migration with rollback.</w:t>
            </w:r>
          </w:p>
        </w:tc>
        <w:tc>
          <w:tcPr>
            <w:tcW w:type="dxa" w:w="864"/>
            <w:vAlign w:val="center"/>
          </w:tcPr>
          <w:p>
            <w:r/>
            <w:r>
              <w:rPr>
                <w:rFonts w:ascii="Calibri" w:hAnsi="Calibri"/>
                <w:color w:val="0F172A"/>
                <w:sz w:val="20"/>
              </w:rPr>
              <w:t>PMO</w:t>
            </w:r>
          </w:p>
        </w:tc>
      </w:tr>
      <w:tr>
        <w:tc>
          <w:tcPr>
            <w:tcW w:type="dxa" w:w="720"/>
            <w:vAlign w:val="center"/>
            <w:shd w:val="clear" w:color="auto" w:fill="F1F5F9"/>
          </w:tcPr>
          <w:p>
            <w:r/>
            <w:r>
              <w:rPr>
                <w:rFonts w:ascii="Calibri" w:hAnsi="Calibri"/>
                <w:color w:val="0F172A"/>
                <w:sz w:val="20"/>
              </w:rPr>
              <w:t>R-03</w:t>
            </w:r>
          </w:p>
        </w:tc>
        <w:tc>
          <w:tcPr>
            <w:tcW w:type="dxa" w:w="2880"/>
            <w:vAlign w:val="center"/>
            <w:shd w:val="clear" w:color="auto" w:fill="F1F5F9"/>
          </w:tcPr>
          <w:p>
            <w:r/>
            <w:r>
              <w:rPr>
                <w:rFonts w:ascii="Calibri" w:hAnsi="Calibri"/>
                <w:color w:val="0F172A"/>
                <w:sz w:val="20"/>
              </w:rPr>
              <w:t>DNS / CNAME setup delays custom domain go-live</w:t>
            </w:r>
          </w:p>
        </w:tc>
        <w:tc>
          <w:tcPr>
            <w:tcW w:type="dxa" w:w="576"/>
            <w:vAlign w:val="center"/>
            <w:shd w:val="clear" w:color="auto" w:fill="F1F5F9"/>
          </w:tcPr>
          <w:p>
            <w:r/>
            <w:r>
              <w:rPr>
                <w:rFonts w:ascii="Calibri" w:hAnsi="Calibri"/>
                <w:color w:val="0F172A"/>
                <w:sz w:val="20"/>
              </w:rPr>
              <w:t>2</w:t>
            </w:r>
          </w:p>
        </w:tc>
        <w:tc>
          <w:tcPr>
            <w:tcW w:type="dxa" w:w="576"/>
            <w:vAlign w:val="center"/>
            <w:shd w:val="clear" w:color="auto" w:fill="F1F5F9"/>
          </w:tcPr>
          <w:p>
            <w:r/>
            <w:r>
              <w:rPr>
                <w:rFonts w:ascii="Calibri" w:hAnsi="Calibri"/>
                <w:color w:val="0F172A"/>
                <w:sz w:val="20"/>
              </w:rPr>
              <w:t>3</w:t>
            </w:r>
          </w:p>
        </w:tc>
        <w:tc>
          <w:tcPr>
            <w:tcW w:type="dxa" w:w="864"/>
            <w:vAlign w:val="center"/>
            <w:shd w:val="clear" w:color="auto" w:fill="F1F5F9"/>
          </w:tcPr>
          <w:p>
            <w:r/>
            <w:r>
              <w:rPr>
                <w:rFonts w:ascii="Calibri" w:hAnsi="Calibri"/>
                <w:color w:val="0F172A"/>
                <w:sz w:val="20"/>
              </w:rPr>
              <w:t>6</w:t>
            </w:r>
          </w:p>
        </w:tc>
        <w:tc>
          <w:tcPr>
            <w:tcW w:type="dxa" w:w="3168"/>
            <w:vAlign w:val="center"/>
            <w:shd w:val="clear" w:color="auto" w:fill="F1F5F9"/>
          </w:tcPr>
          <w:p>
            <w:r/>
            <w:r>
              <w:rPr>
                <w:rFonts w:ascii="Calibri" w:hAnsi="Calibri"/>
                <w:color w:val="0F172A"/>
                <w:sz w:val="20"/>
              </w:rPr>
              <w:t>Pre-validate DNS access early; fallback to *.aurborbloom.com.</w:t>
            </w:r>
          </w:p>
        </w:tc>
        <w:tc>
          <w:tcPr>
            <w:tcW w:type="dxa" w:w="864"/>
            <w:vAlign w:val="center"/>
            <w:shd w:val="clear" w:color="auto" w:fill="F1F5F9"/>
          </w:tcPr>
          <w:p>
            <w:r/>
            <w:r>
              <w:rPr>
                <w:rFonts w:ascii="Calibri" w:hAnsi="Calibri"/>
                <w:color w:val="0F172A"/>
                <w:sz w:val="20"/>
              </w:rPr>
              <w:t>IT</w:t>
            </w:r>
          </w:p>
        </w:tc>
      </w:tr>
      <w:tr>
        <w:tc>
          <w:tcPr>
            <w:tcW w:type="dxa" w:w="720"/>
            <w:vAlign w:val="center"/>
          </w:tcPr>
          <w:p>
            <w:r/>
            <w:r>
              <w:rPr>
                <w:rFonts w:ascii="Calibri" w:hAnsi="Calibri"/>
                <w:color w:val="0F172A"/>
                <w:sz w:val="20"/>
              </w:rPr>
              <w:t>R-04</w:t>
            </w:r>
          </w:p>
        </w:tc>
        <w:tc>
          <w:tcPr>
            <w:tcW w:type="dxa" w:w="2880"/>
            <w:vAlign w:val="center"/>
          </w:tcPr>
          <w:p>
            <w:r/>
            <w:r>
              <w:rPr>
                <w:rFonts w:ascii="Calibri" w:hAnsi="Calibri"/>
                <w:color w:val="0F172A"/>
                <w:sz w:val="20"/>
              </w:rPr>
              <w:t>Security incident exposes PII</w:t>
            </w:r>
          </w:p>
        </w:tc>
        <w:tc>
          <w:tcPr>
            <w:tcW w:type="dxa" w:w="576"/>
            <w:vAlign w:val="center"/>
          </w:tcPr>
          <w:p>
            <w:r/>
            <w:r>
              <w:rPr>
                <w:rFonts w:ascii="Calibri" w:hAnsi="Calibri"/>
                <w:color w:val="0F172A"/>
                <w:sz w:val="20"/>
              </w:rPr>
              <w:t>2</w:t>
            </w:r>
          </w:p>
        </w:tc>
        <w:tc>
          <w:tcPr>
            <w:tcW w:type="dxa" w:w="576"/>
            <w:vAlign w:val="center"/>
          </w:tcPr>
          <w:p>
            <w:r/>
            <w:r>
              <w:rPr>
                <w:rFonts w:ascii="Calibri" w:hAnsi="Calibri"/>
                <w:color w:val="0F172A"/>
                <w:sz w:val="20"/>
              </w:rPr>
              <w:t>5</w:t>
            </w:r>
          </w:p>
        </w:tc>
        <w:tc>
          <w:tcPr>
            <w:tcW w:type="dxa" w:w="864"/>
            <w:vAlign w:val="center"/>
          </w:tcPr>
          <w:p>
            <w:r/>
            <w:r>
              <w:rPr>
                <w:rFonts w:ascii="Calibri" w:hAnsi="Calibri"/>
                <w:color w:val="0F172A"/>
                <w:sz w:val="20"/>
              </w:rPr>
              <w:t>10</w:t>
            </w:r>
          </w:p>
        </w:tc>
        <w:tc>
          <w:tcPr>
            <w:tcW w:type="dxa" w:w="3168"/>
            <w:vAlign w:val="center"/>
          </w:tcPr>
          <w:p>
            <w:r/>
            <w:r>
              <w:rPr>
                <w:rFonts w:ascii="Calibri" w:hAnsi="Calibri"/>
                <w:color w:val="0F172A"/>
                <w:sz w:val="20"/>
              </w:rPr>
              <w:t>Encryption at rest + in transit, RBAC, audit log, SOC monitoring.</w:t>
            </w:r>
          </w:p>
        </w:tc>
        <w:tc>
          <w:tcPr>
            <w:tcW w:type="dxa" w:w="864"/>
            <w:vAlign w:val="center"/>
          </w:tcPr>
          <w:p>
            <w:r/>
            <w:r>
              <w:rPr>
                <w:rFonts w:ascii="Calibri" w:hAnsi="Calibri"/>
                <w:color w:val="0F172A"/>
                <w:sz w:val="20"/>
              </w:rPr>
              <w:t>InfoSec</w:t>
            </w:r>
          </w:p>
        </w:tc>
      </w:tr>
      <w:tr>
        <w:tc>
          <w:tcPr>
            <w:tcW w:type="dxa" w:w="720"/>
            <w:vAlign w:val="center"/>
            <w:shd w:val="clear" w:color="auto" w:fill="F1F5F9"/>
          </w:tcPr>
          <w:p>
            <w:r/>
            <w:r>
              <w:rPr>
                <w:rFonts w:ascii="Calibri" w:hAnsi="Calibri"/>
                <w:color w:val="0F172A"/>
                <w:sz w:val="20"/>
              </w:rPr>
              <w:t>R-05</w:t>
            </w:r>
          </w:p>
        </w:tc>
        <w:tc>
          <w:tcPr>
            <w:tcW w:type="dxa" w:w="2880"/>
            <w:vAlign w:val="center"/>
            <w:shd w:val="clear" w:color="auto" w:fill="F1F5F9"/>
          </w:tcPr>
          <w:p>
            <w:r/>
            <w:r>
              <w:rPr>
                <w:rFonts w:ascii="Calibri" w:hAnsi="Calibri"/>
                <w:color w:val="0F172A"/>
                <w:sz w:val="20"/>
              </w:rPr>
              <w:t>Vendor LLM costs exceed budget</w:t>
            </w:r>
          </w:p>
        </w:tc>
        <w:tc>
          <w:tcPr>
            <w:tcW w:type="dxa" w:w="576"/>
            <w:vAlign w:val="center"/>
            <w:shd w:val="clear" w:color="auto" w:fill="F1F5F9"/>
          </w:tcPr>
          <w:p>
            <w:r/>
            <w:r>
              <w:rPr>
                <w:rFonts w:ascii="Calibri" w:hAnsi="Calibri"/>
                <w:color w:val="0F172A"/>
                <w:sz w:val="20"/>
              </w:rPr>
              <w:t>3</w:t>
            </w:r>
          </w:p>
        </w:tc>
        <w:tc>
          <w:tcPr>
            <w:tcW w:type="dxa" w:w="576"/>
            <w:vAlign w:val="center"/>
            <w:shd w:val="clear" w:color="auto" w:fill="F1F5F9"/>
          </w:tcPr>
          <w:p>
            <w:r/>
            <w:r>
              <w:rPr>
                <w:rFonts w:ascii="Calibri" w:hAnsi="Calibri"/>
                <w:color w:val="0F172A"/>
                <w:sz w:val="20"/>
              </w:rPr>
              <w:t>2</w:t>
            </w:r>
          </w:p>
        </w:tc>
        <w:tc>
          <w:tcPr>
            <w:tcW w:type="dxa" w:w="864"/>
            <w:vAlign w:val="center"/>
            <w:shd w:val="clear" w:color="auto" w:fill="F1F5F9"/>
          </w:tcPr>
          <w:p>
            <w:r/>
            <w:r>
              <w:rPr>
                <w:rFonts w:ascii="Calibri" w:hAnsi="Calibri"/>
                <w:color w:val="0F172A"/>
                <w:sz w:val="20"/>
              </w:rPr>
              <w:t>6</w:t>
            </w:r>
          </w:p>
        </w:tc>
        <w:tc>
          <w:tcPr>
            <w:tcW w:type="dxa" w:w="3168"/>
            <w:vAlign w:val="center"/>
            <w:shd w:val="clear" w:color="auto" w:fill="F1F5F9"/>
          </w:tcPr>
          <w:p>
            <w:r/>
            <w:r>
              <w:rPr>
                <w:rFonts w:ascii="Calibri" w:hAnsi="Calibri"/>
                <w:color w:val="0F172A"/>
                <w:sz w:val="20"/>
              </w:rPr>
              <w:t>Universal Key with budget alerts; cap monthly spend per feature.</w:t>
            </w:r>
          </w:p>
        </w:tc>
        <w:tc>
          <w:tcPr>
            <w:tcW w:type="dxa" w:w="864"/>
            <w:vAlign w:val="center"/>
            <w:shd w:val="clear" w:color="auto" w:fill="F1F5F9"/>
          </w:tcPr>
          <w:p>
            <w:r/>
            <w:r>
              <w:rPr>
                <w:rFonts w:ascii="Calibri" w:hAnsi="Calibri"/>
                <w:color w:val="0F172A"/>
                <w:sz w:val="20"/>
              </w:rPr>
              <w:t>Finance</w:t>
            </w:r>
          </w:p>
        </w:tc>
      </w:tr>
      <w:tr>
        <w:tc>
          <w:tcPr>
            <w:tcW w:type="dxa" w:w="720"/>
            <w:vAlign w:val="center"/>
          </w:tcPr>
          <w:p>
            <w:r/>
            <w:r>
              <w:rPr>
                <w:rFonts w:ascii="Calibri" w:hAnsi="Calibri"/>
                <w:color w:val="0F172A"/>
                <w:sz w:val="20"/>
              </w:rPr>
              <w:t>R-06</w:t>
            </w:r>
          </w:p>
        </w:tc>
        <w:tc>
          <w:tcPr>
            <w:tcW w:type="dxa" w:w="2880"/>
            <w:vAlign w:val="center"/>
          </w:tcPr>
          <w:p>
            <w:r/>
            <w:r>
              <w:rPr>
                <w:rFonts w:ascii="Calibri" w:hAnsi="Calibri"/>
                <w:color w:val="0F172A"/>
                <w:sz w:val="20"/>
              </w:rPr>
              <w:t>Browser compatibility regressions</w:t>
            </w:r>
          </w:p>
        </w:tc>
        <w:tc>
          <w:tcPr>
            <w:tcW w:type="dxa" w:w="576"/>
            <w:vAlign w:val="center"/>
          </w:tcPr>
          <w:p>
            <w:r/>
            <w:r>
              <w:rPr>
                <w:rFonts w:ascii="Calibri" w:hAnsi="Calibri"/>
                <w:color w:val="0F172A"/>
                <w:sz w:val="20"/>
              </w:rPr>
              <w:t>3</w:t>
            </w:r>
          </w:p>
        </w:tc>
        <w:tc>
          <w:tcPr>
            <w:tcW w:type="dxa" w:w="576"/>
            <w:vAlign w:val="center"/>
          </w:tcPr>
          <w:p>
            <w:r/>
            <w:r>
              <w:rPr>
                <w:rFonts w:ascii="Calibri" w:hAnsi="Calibri"/>
                <w:color w:val="0F172A"/>
                <w:sz w:val="20"/>
              </w:rPr>
              <w:t>2</w:t>
            </w:r>
          </w:p>
        </w:tc>
        <w:tc>
          <w:tcPr>
            <w:tcW w:type="dxa" w:w="864"/>
            <w:vAlign w:val="center"/>
          </w:tcPr>
          <w:p>
            <w:r/>
            <w:r>
              <w:rPr>
                <w:rFonts w:ascii="Calibri" w:hAnsi="Calibri"/>
                <w:color w:val="0F172A"/>
                <w:sz w:val="20"/>
              </w:rPr>
              <w:t>6</w:t>
            </w:r>
          </w:p>
        </w:tc>
        <w:tc>
          <w:tcPr>
            <w:tcW w:type="dxa" w:w="3168"/>
            <w:vAlign w:val="center"/>
          </w:tcPr>
          <w:p>
            <w:r/>
            <w:r>
              <w:rPr>
                <w:rFonts w:ascii="Calibri" w:hAnsi="Calibri"/>
                <w:color w:val="0F172A"/>
                <w:sz w:val="20"/>
              </w:rPr>
              <w:t>Automated cross-browser test suite in CI.</w:t>
            </w:r>
          </w:p>
        </w:tc>
        <w:tc>
          <w:tcPr>
            <w:tcW w:type="dxa" w:w="864"/>
            <w:vAlign w:val="center"/>
          </w:tcPr>
          <w:p>
            <w:r/>
            <w:r>
              <w:rPr>
                <w:rFonts w:ascii="Calibri" w:hAnsi="Calibri"/>
                <w:color w:val="0F172A"/>
                <w:sz w:val="20"/>
              </w:rPr>
              <w:t>Engineering</w:t>
            </w:r>
          </w:p>
        </w:tc>
      </w:tr>
      <w:tr>
        <w:tc>
          <w:tcPr>
            <w:tcW w:type="dxa" w:w="720"/>
            <w:vAlign w:val="center"/>
            <w:shd w:val="clear" w:color="auto" w:fill="F1F5F9"/>
          </w:tcPr>
          <w:p>
            <w:r/>
            <w:r>
              <w:rPr>
                <w:rFonts w:ascii="Calibri" w:hAnsi="Calibri"/>
                <w:color w:val="0F172A"/>
                <w:sz w:val="20"/>
              </w:rPr>
              <w:t>R-07</w:t>
            </w:r>
          </w:p>
        </w:tc>
        <w:tc>
          <w:tcPr>
            <w:tcW w:type="dxa" w:w="2880"/>
            <w:vAlign w:val="center"/>
            <w:shd w:val="clear" w:color="auto" w:fill="F1F5F9"/>
          </w:tcPr>
          <w:p>
            <w:r/>
            <w:r>
              <w:rPr>
                <w:rFonts w:ascii="Calibri" w:hAnsi="Calibri"/>
                <w:color w:val="0F172A"/>
                <w:sz w:val="20"/>
              </w:rPr>
              <w:t>Insufficient mobile experience reduces adoption</w:t>
            </w:r>
          </w:p>
        </w:tc>
        <w:tc>
          <w:tcPr>
            <w:tcW w:type="dxa" w:w="576"/>
            <w:vAlign w:val="center"/>
            <w:shd w:val="clear" w:color="auto" w:fill="F1F5F9"/>
          </w:tcPr>
          <w:p>
            <w:r/>
            <w:r>
              <w:rPr>
                <w:rFonts w:ascii="Calibri" w:hAnsi="Calibri"/>
                <w:color w:val="0F172A"/>
                <w:sz w:val="20"/>
              </w:rPr>
              <w:t>3</w:t>
            </w:r>
          </w:p>
        </w:tc>
        <w:tc>
          <w:tcPr>
            <w:tcW w:type="dxa" w:w="576"/>
            <w:vAlign w:val="center"/>
            <w:shd w:val="clear" w:color="auto" w:fill="F1F5F9"/>
          </w:tcPr>
          <w:p>
            <w:r/>
            <w:r>
              <w:rPr>
                <w:rFonts w:ascii="Calibri" w:hAnsi="Calibri"/>
                <w:color w:val="0F172A"/>
                <w:sz w:val="20"/>
              </w:rPr>
              <w:t>4</w:t>
            </w:r>
          </w:p>
        </w:tc>
        <w:tc>
          <w:tcPr>
            <w:tcW w:type="dxa" w:w="864"/>
            <w:vAlign w:val="center"/>
            <w:shd w:val="clear" w:color="auto" w:fill="F1F5F9"/>
          </w:tcPr>
          <w:p>
            <w:r/>
            <w:r>
              <w:rPr>
                <w:rFonts w:ascii="Calibri" w:hAnsi="Calibri"/>
                <w:color w:val="0F172A"/>
                <w:sz w:val="20"/>
              </w:rPr>
              <w:t>12</w:t>
            </w:r>
          </w:p>
        </w:tc>
        <w:tc>
          <w:tcPr>
            <w:tcW w:type="dxa" w:w="3168"/>
            <w:vAlign w:val="center"/>
            <w:shd w:val="clear" w:color="auto" w:fill="F1F5F9"/>
          </w:tcPr>
          <w:p>
            <w:r/>
            <w:r>
              <w:rPr>
                <w:rFonts w:ascii="Calibri" w:hAnsi="Calibri"/>
                <w:color w:val="0F172A"/>
                <w:sz w:val="20"/>
              </w:rPr>
              <w:t>Mobile-first design review for every employee flow.</w:t>
            </w:r>
          </w:p>
        </w:tc>
        <w:tc>
          <w:tcPr>
            <w:tcW w:type="dxa" w:w="864"/>
            <w:vAlign w:val="center"/>
            <w:shd w:val="clear" w:color="auto" w:fill="F1F5F9"/>
          </w:tcPr>
          <w:p>
            <w:r/>
            <w:r>
              <w:rPr>
                <w:rFonts w:ascii="Calibri" w:hAnsi="Calibri"/>
                <w:color w:val="0F172A"/>
                <w:sz w:val="20"/>
              </w:rPr>
              <w:t>Product</w:t>
            </w:r>
          </w:p>
        </w:tc>
      </w:tr>
      <w:tr>
        <w:tc>
          <w:tcPr>
            <w:tcW w:type="dxa" w:w="720"/>
            <w:vAlign w:val="center"/>
          </w:tcPr>
          <w:p>
            <w:r/>
            <w:r>
              <w:rPr>
                <w:rFonts w:ascii="Calibri" w:hAnsi="Calibri"/>
                <w:color w:val="0F172A"/>
                <w:sz w:val="20"/>
              </w:rPr>
              <w:t>R-08</w:t>
            </w:r>
          </w:p>
        </w:tc>
        <w:tc>
          <w:tcPr>
            <w:tcW w:type="dxa" w:w="2880"/>
            <w:vAlign w:val="center"/>
          </w:tcPr>
          <w:p>
            <w:r/>
            <w:r>
              <w:rPr>
                <w:rFonts w:ascii="Calibri" w:hAnsi="Calibri"/>
                <w:color w:val="0F172A"/>
                <w:sz w:val="20"/>
              </w:rPr>
              <w:t>Unplanned downtime during peak hours</w:t>
            </w:r>
          </w:p>
        </w:tc>
        <w:tc>
          <w:tcPr>
            <w:tcW w:type="dxa" w:w="576"/>
            <w:vAlign w:val="center"/>
          </w:tcPr>
          <w:p>
            <w:r/>
            <w:r>
              <w:rPr>
                <w:rFonts w:ascii="Calibri" w:hAnsi="Calibri"/>
                <w:color w:val="0F172A"/>
                <w:sz w:val="20"/>
              </w:rPr>
              <w:t>2</w:t>
            </w:r>
          </w:p>
        </w:tc>
        <w:tc>
          <w:tcPr>
            <w:tcW w:type="dxa" w:w="576"/>
            <w:vAlign w:val="center"/>
          </w:tcPr>
          <w:p>
            <w:r/>
            <w:r>
              <w:rPr>
                <w:rFonts w:ascii="Calibri" w:hAnsi="Calibri"/>
                <w:color w:val="0F172A"/>
                <w:sz w:val="20"/>
              </w:rPr>
              <w:t>5</w:t>
            </w:r>
          </w:p>
        </w:tc>
        <w:tc>
          <w:tcPr>
            <w:tcW w:type="dxa" w:w="864"/>
            <w:vAlign w:val="center"/>
          </w:tcPr>
          <w:p>
            <w:r/>
            <w:r>
              <w:rPr>
                <w:rFonts w:ascii="Calibri" w:hAnsi="Calibri"/>
                <w:color w:val="0F172A"/>
                <w:sz w:val="20"/>
              </w:rPr>
              <w:t>10</w:t>
            </w:r>
          </w:p>
        </w:tc>
        <w:tc>
          <w:tcPr>
            <w:tcW w:type="dxa" w:w="3168"/>
            <w:vAlign w:val="center"/>
          </w:tcPr>
          <w:p>
            <w:r/>
            <w:r>
              <w:rPr>
                <w:rFonts w:ascii="Calibri" w:hAnsi="Calibri"/>
                <w:color w:val="0F172A"/>
                <w:sz w:val="20"/>
              </w:rPr>
              <w:t>Blue-green deploys, off-hours maintenance windows, SRE on-call.</w:t>
            </w:r>
          </w:p>
        </w:tc>
        <w:tc>
          <w:tcPr>
            <w:tcW w:type="dxa" w:w="864"/>
            <w:vAlign w:val="center"/>
          </w:tcPr>
          <w:p>
            <w:r/>
            <w:r>
              <w:rPr>
                <w:rFonts w:ascii="Calibri" w:hAnsi="Calibri"/>
                <w:color w:val="0F172A"/>
                <w:sz w:val="20"/>
              </w:rPr>
              <w:t>DevOps</w:t>
            </w:r>
          </w:p>
        </w:tc>
      </w:tr>
      <w:tr>
        <w:tc>
          <w:tcPr>
            <w:tcW w:type="dxa" w:w="720"/>
            <w:vAlign w:val="center"/>
            <w:shd w:val="clear" w:color="auto" w:fill="F1F5F9"/>
          </w:tcPr>
          <w:p>
            <w:r/>
            <w:r>
              <w:rPr>
                <w:rFonts w:ascii="Calibri" w:hAnsi="Calibri"/>
                <w:color w:val="0F172A"/>
                <w:sz w:val="20"/>
              </w:rPr>
              <w:t>R-09</w:t>
            </w:r>
          </w:p>
        </w:tc>
        <w:tc>
          <w:tcPr>
            <w:tcW w:type="dxa" w:w="2880"/>
            <w:vAlign w:val="center"/>
            <w:shd w:val="clear" w:color="auto" w:fill="F1F5F9"/>
          </w:tcPr>
          <w:p>
            <w:r/>
            <w:r>
              <w:rPr>
                <w:rFonts w:ascii="Calibri" w:hAnsi="Calibri"/>
                <w:color w:val="0F172A"/>
                <w:sz w:val="20"/>
              </w:rPr>
              <w:t>Cross-tenant data leakage</w:t>
            </w:r>
          </w:p>
        </w:tc>
        <w:tc>
          <w:tcPr>
            <w:tcW w:type="dxa" w:w="576"/>
            <w:vAlign w:val="center"/>
            <w:shd w:val="clear" w:color="auto" w:fill="F1F5F9"/>
          </w:tcPr>
          <w:p>
            <w:r/>
            <w:r>
              <w:rPr>
                <w:rFonts w:ascii="Calibri" w:hAnsi="Calibri"/>
                <w:color w:val="0F172A"/>
                <w:sz w:val="20"/>
              </w:rPr>
              <w:t>1</w:t>
            </w:r>
          </w:p>
        </w:tc>
        <w:tc>
          <w:tcPr>
            <w:tcW w:type="dxa" w:w="576"/>
            <w:vAlign w:val="center"/>
            <w:shd w:val="clear" w:color="auto" w:fill="F1F5F9"/>
          </w:tcPr>
          <w:p>
            <w:r/>
            <w:r>
              <w:rPr>
                <w:rFonts w:ascii="Calibri" w:hAnsi="Calibri"/>
                <w:color w:val="0F172A"/>
                <w:sz w:val="20"/>
              </w:rPr>
              <w:t>5</w:t>
            </w:r>
          </w:p>
        </w:tc>
        <w:tc>
          <w:tcPr>
            <w:tcW w:type="dxa" w:w="864"/>
            <w:vAlign w:val="center"/>
            <w:shd w:val="clear" w:color="auto" w:fill="F1F5F9"/>
          </w:tcPr>
          <w:p>
            <w:r/>
            <w:r>
              <w:rPr>
                <w:rFonts w:ascii="Calibri" w:hAnsi="Calibri"/>
                <w:color w:val="0F172A"/>
                <w:sz w:val="20"/>
              </w:rPr>
              <w:t>5</w:t>
            </w:r>
          </w:p>
        </w:tc>
        <w:tc>
          <w:tcPr>
            <w:tcW w:type="dxa" w:w="3168"/>
            <w:vAlign w:val="center"/>
            <w:shd w:val="clear" w:color="auto" w:fill="F1F5F9"/>
          </w:tcPr>
          <w:p>
            <w:r/>
            <w:r>
              <w:rPr>
                <w:rFonts w:ascii="Calibri" w:hAnsi="Calibri"/>
                <w:color w:val="0F172A"/>
                <w:sz w:val="20"/>
              </w:rPr>
              <w:t>Tenant-scoped queries, automated isolation tests in CI.</w:t>
            </w:r>
          </w:p>
        </w:tc>
        <w:tc>
          <w:tcPr>
            <w:tcW w:type="dxa" w:w="864"/>
            <w:vAlign w:val="center"/>
            <w:shd w:val="clear" w:color="auto" w:fill="F1F5F9"/>
          </w:tcPr>
          <w:p>
            <w:r/>
            <w:r>
              <w:rPr>
                <w:rFonts w:ascii="Calibri" w:hAnsi="Calibri"/>
                <w:color w:val="0F172A"/>
                <w:sz w:val="20"/>
              </w:rPr>
              <w:t>Engineering</w:t>
            </w:r>
          </w:p>
        </w:tc>
      </w:tr>
      <w:tr>
        <w:tc>
          <w:tcPr>
            <w:tcW w:type="dxa" w:w="720"/>
            <w:vAlign w:val="center"/>
          </w:tcPr>
          <w:p>
            <w:r/>
            <w:r>
              <w:rPr>
                <w:rFonts w:ascii="Calibri" w:hAnsi="Calibri"/>
                <w:color w:val="0F172A"/>
                <w:sz w:val="20"/>
              </w:rPr>
              <w:t>R-10</w:t>
            </w:r>
          </w:p>
        </w:tc>
        <w:tc>
          <w:tcPr>
            <w:tcW w:type="dxa" w:w="2880"/>
            <w:vAlign w:val="center"/>
          </w:tcPr>
          <w:p>
            <w:r/>
            <w:r>
              <w:rPr>
                <w:rFonts w:ascii="Calibri" w:hAnsi="Calibri"/>
                <w:color w:val="0F172A"/>
                <w:sz w:val="20"/>
              </w:rPr>
              <w:t>Audit failure due to incomplete logging</w:t>
            </w:r>
          </w:p>
        </w:tc>
        <w:tc>
          <w:tcPr>
            <w:tcW w:type="dxa" w:w="576"/>
            <w:vAlign w:val="center"/>
          </w:tcPr>
          <w:p>
            <w:r/>
            <w:r>
              <w:rPr>
                <w:rFonts w:ascii="Calibri" w:hAnsi="Calibri"/>
                <w:color w:val="0F172A"/>
                <w:sz w:val="20"/>
              </w:rPr>
              <w:t>2</w:t>
            </w:r>
          </w:p>
        </w:tc>
        <w:tc>
          <w:tcPr>
            <w:tcW w:type="dxa" w:w="576"/>
            <w:vAlign w:val="center"/>
          </w:tcPr>
          <w:p>
            <w:r/>
            <w:r>
              <w:rPr>
                <w:rFonts w:ascii="Calibri" w:hAnsi="Calibri"/>
                <w:color w:val="0F172A"/>
                <w:sz w:val="20"/>
              </w:rPr>
              <w:t>5</w:t>
            </w:r>
          </w:p>
        </w:tc>
        <w:tc>
          <w:tcPr>
            <w:tcW w:type="dxa" w:w="864"/>
            <w:vAlign w:val="center"/>
          </w:tcPr>
          <w:p>
            <w:r/>
            <w:r>
              <w:rPr>
                <w:rFonts w:ascii="Calibri" w:hAnsi="Calibri"/>
                <w:color w:val="0F172A"/>
                <w:sz w:val="20"/>
              </w:rPr>
              <w:t>10</w:t>
            </w:r>
          </w:p>
        </w:tc>
        <w:tc>
          <w:tcPr>
            <w:tcW w:type="dxa" w:w="3168"/>
            <w:vAlign w:val="center"/>
          </w:tcPr>
          <w:p>
            <w:r/>
            <w:r>
              <w:rPr>
                <w:rFonts w:ascii="Calibri" w:hAnsi="Calibri"/>
                <w:color w:val="0F172A"/>
                <w:sz w:val="20"/>
              </w:rPr>
              <w:t>Immutable append-only audit log with periodic verification.</w:t>
            </w:r>
          </w:p>
        </w:tc>
        <w:tc>
          <w:tcPr>
            <w:tcW w:type="dxa" w:w="864"/>
            <w:vAlign w:val="center"/>
          </w:tcPr>
          <w:p>
            <w:r/>
            <w:r>
              <w:rPr>
                <w:rFonts w:ascii="Calibri" w:hAnsi="Calibri"/>
                <w:color w:val="0F172A"/>
                <w:sz w:val="20"/>
              </w:rPr>
              <w:t>Compliance</w:t>
            </w:r>
          </w:p>
        </w:tc>
      </w:tr>
    </w:tbl>
    <w:p>
      <w:r>
        <w:br w:type="page"/>
      </w:r>
    </w:p>
    <w:p>
      <w:pPr>
        <w:spacing w:before="280" w:after="120"/>
        <w:pBdr>
          <w:bottom w:val="single" w:sz="8" w:color="1E3A8A"/>
        </w:pBdr>
      </w:pPr>
      <w:r>
        <w:rPr>
          <w:rFonts w:ascii="Calibri" w:hAnsi="Calibri"/>
          <w:b/>
          <w:color w:val="1E3A8A"/>
          <w:sz w:val="36"/>
        </w:rPr>
        <w:t>10. Regulatory &amp; Compliance Considerations</w:t>
      </w:r>
    </w:p>
    <w:p>
      <w:pPr>
        <w:pStyle w:val="ListBullet"/>
        <w:spacing w:after="40"/>
      </w:pPr>
      <w:r>
        <w:rPr>
          <w:color w:val="0F172A"/>
          <w:sz w:val="22"/>
        </w:rPr>
        <w:t>U.S. labor recordkeeping (Fair Labor Standards Act): time records retained for ≥ 3 years; payroll-ready exports.</w:t>
      </w:r>
    </w:p>
    <w:p>
      <w:pPr>
        <w:pStyle w:val="ListBullet"/>
        <w:spacing w:after="40"/>
      </w:pPr>
      <w:r>
        <w:rPr>
          <w:color w:val="0F172A"/>
          <w:sz w:val="22"/>
        </w:rPr>
        <w:t>U.S. state-specific paid-sick-leave rules: leave types configurable per policy.</w:t>
      </w:r>
    </w:p>
    <w:p>
      <w:pPr>
        <w:pStyle w:val="ListBullet"/>
        <w:spacing w:after="40"/>
      </w:pPr>
      <w:r>
        <w:rPr>
          <w:color w:val="0F172A"/>
          <w:sz w:val="22"/>
        </w:rPr>
        <w:t>Data privacy: explicit consent capture, right to access and delete, breach notification within 72 hours.</w:t>
      </w:r>
    </w:p>
    <w:p>
      <w:pPr>
        <w:pStyle w:val="ListBullet"/>
        <w:spacing w:after="40"/>
      </w:pPr>
      <w:r>
        <w:rPr>
          <w:color w:val="0F172A"/>
          <w:sz w:val="22"/>
        </w:rPr>
        <w:t>SOC 2 Type II posture: annual third-party assessment of security, availability, confidentiality.</w:t>
      </w:r>
    </w:p>
    <w:p>
      <w:pPr>
        <w:pStyle w:val="ListBullet"/>
        <w:spacing w:after="40"/>
      </w:pPr>
      <w:r>
        <w:rPr>
          <w:color w:val="0F172A"/>
          <w:sz w:val="22"/>
        </w:rPr>
        <w:t>Internal IT policies: SSO-readiness, password complexity, session timeout (≤ 30 minutes idle).</w:t>
      </w:r>
    </w:p>
    <w:p>
      <w:pPr>
        <w:spacing w:before="280" w:after="120"/>
        <w:pBdr>
          <w:bottom w:val="single" w:sz="8" w:color="1E3A8A"/>
        </w:pBdr>
      </w:pPr>
      <w:r>
        <w:rPr>
          <w:rFonts w:ascii="Calibri" w:hAnsi="Calibri"/>
          <w:b/>
          <w:color w:val="1E3A8A"/>
          <w:sz w:val="36"/>
        </w:rPr>
        <w:t>11. Glossary</w:t>
      </w:r>
    </w:p>
    <w:tbl>
      <w:tblPr>
        <w:tblStyle w:val="LightGrid-Accent1"/>
        <w:tblW w:type="auto" w:w="0"/>
        <w:tblLayout w:type="fixed"/>
        <w:tblLook w:firstColumn="1" w:firstRow="1" w:lastColumn="0" w:lastRow="0" w:noHBand="0" w:noVBand="1" w:val="04A0"/>
      </w:tblPr>
      <w:tblGrid>
        <w:gridCol w:w="4986"/>
        <w:gridCol w:w="4986"/>
      </w:tblGrid>
      <w:tr>
        <w:tc>
          <w:tcPr>
            <w:tcW w:type="dxa" w:w="2016"/>
            <w:shd w:val="clear" w:color="auto" w:fill="1E3A8A"/>
            <w:vAlign w:val="center"/>
          </w:tcPr>
          <w:p>
            <w:r/>
            <w:r>
              <w:rPr>
                <w:rFonts w:ascii="Calibri" w:hAnsi="Calibri"/>
                <w:b/>
                <w:color w:val="FFFFFF"/>
                <w:sz w:val="21"/>
              </w:rPr>
              <w:t>Term</w:t>
            </w:r>
          </w:p>
        </w:tc>
        <w:tc>
          <w:tcPr>
            <w:tcW w:type="dxa" w:w="7200"/>
            <w:shd w:val="clear" w:color="auto" w:fill="1E3A8A"/>
            <w:vAlign w:val="center"/>
          </w:tcPr>
          <w:p>
            <w:r/>
            <w:r>
              <w:rPr>
                <w:rFonts w:ascii="Calibri" w:hAnsi="Calibri"/>
                <w:b/>
                <w:color w:val="FFFFFF"/>
                <w:sz w:val="21"/>
              </w:rPr>
              <w:t>Definition</w:t>
            </w:r>
          </w:p>
        </w:tc>
      </w:tr>
      <w:tr>
        <w:tc>
          <w:tcPr>
            <w:tcW w:type="dxa" w:w="2016"/>
            <w:vAlign w:val="center"/>
            <w:shd w:val="clear" w:color="auto" w:fill="F1F5F9"/>
          </w:tcPr>
          <w:p>
            <w:r/>
            <w:r>
              <w:rPr>
                <w:rFonts w:ascii="Calibri" w:hAnsi="Calibri"/>
                <w:color w:val="0F172A"/>
                <w:sz w:val="20"/>
              </w:rPr>
              <w:t>BRD</w:t>
            </w:r>
          </w:p>
        </w:tc>
        <w:tc>
          <w:tcPr>
            <w:tcW w:type="dxa" w:w="7200"/>
            <w:vAlign w:val="center"/>
            <w:shd w:val="clear" w:color="auto" w:fill="F1F5F9"/>
          </w:tcPr>
          <w:p>
            <w:r/>
            <w:r>
              <w:rPr>
                <w:rFonts w:ascii="Calibri" w:hAnsi="Calibri"/>
                <w:color w:val="0F172A"/>
                <w:sz w:val="20"/>
              </w:rPr>
              <w:t>Business Requirements Document</w:t>
            </w:r>
          </w:p>
        </w:tc>
      </w:tr>
      <w:tr>
        <w:tc>
          <w:tcPr>
            <w:tcW w:type="dxa" w:w="2016"/>
            <w:vAlign w:val="center"/>
          </w:tcPr>
          <w:p>
            <w:r/>
            <w:r>
              <w:rPr>
                <w:rFonts w:ascii="Calibri" w:hAnsi="Calibri"/>
                <w:color w:val="0F172A"/>
                <w:sz w:val="20"/>
              </w:rPr>
              <w:t>FRD</w:t>
            </w:r>
          </w:p>
        </w:tc>
        <w:tc>
          <w:tcPr>
            <w:tcW w:type="dxa" w:w="7200"/>
            <w:vAlign w:val="center"/>
          </w:tcPr>
          <w:p>
            <w:r/>
            <w:r>
              <w:rPr>
                <w:rFonts w:ascii="Calibri" w:hAnsi="Calibri"/>
                <w:color w:val="0F172A"/>
                <w:sz w:val="20"/>
              </w:rPr>
              <w:t>Functional Requirements Document</w:t>
            </w:r>
          </w:p>
        </w:tc>
      </w:tr>
      <w:tr>
        <w:tc>
          <w:tcPr>
            <w:tcW w:type="dxa" w:w="2016"/>
            <w:vAlign w:val="center"/>
            <w:shd w:val="clear" w:color="auto" w:fill="F1F5F9"/>
          </w:tcPr>
          <w:p>
            <w:r/>
            <w:r>
              <w:rPr>
                <w:rFonts w:ascii="Calibri" w:hAnsi="Calibri"/>
                <w:color w:val="0F172A"/>
                <w:sz w:val="20"/>
              </w:rPr>
              <w:t>HRMS</w:t>
            </w:r>
          </w:p>
        </w:tc>
        <w:tc>
          <w:tcPr>
            <w:tcW w:type="dxa" w:w="7200"/>
            <w:vAlign w:val="center"/>
            <w:shd w:val="clear" w:color="auto" w:fill="F1F5F9"/>
          </w:tcPr>
          <w:p>
            <w:r/>
            <w:r>
              <w:rPr>
                <w:rFonts w:ascii="Calibri" w:hAnsi="Calibri"/>
                <w:color w:val="0F172A"/>
                <w:sz w:val="20"/>
              </w:rPr>
              <w:t>Human Resource Management System</w:t>
            </w:r>
          </w:p>
        </w:tc>
      </w:tr>
      <w:tr>
        <w:tc>
          <w:tcPr>
            <w:tcW w:type="dxa" w:w="2016"/>
            <w:vAlign w:val="center"/>
          </w:tcPr>
          <w:p>
            <w:r/>
            <w:r>
              <w:rPr>
                <w:rFonts w:ascii="Calibri" w:hAnsi="Calibri"/>
                <w:color w:val="0F172A"/>
                <w:sz w:val="20"/>
              </w:rPr>
              <w:t>MoSCoW</w:t>
            </w:r>
          </w:p>
        </w:tc>
        <w:tc>
          <w:tcPr>
            <w:tcW w:type="dxa" w:w="7200"/>
            <w:vAlign w:val="center"/>
          </w:tcPr>
          <w:p>
            <w:r/>
            <w:r>
              <w:rPr>
                <w:rFonts w:ascii="Calibri" w:hAnsi="Calibri"/>
                <w:color w:val="0F172A"/>
                <w:sz w:val="20"/>
              </w:rPr>
              <w:t>Prioritization framework: Must / Should / Could / Won't</w:t>
            </w:r>
          </w:p>
        </w:tc>
      </w:tr>
      <w:tr>
        <w:tc>
          <w:tcPr>
            <w:tcW w:type="dxa" w:w="2016"/>
            <w:vAlign w:val="center"/>
            <w:shd w:val="clear" w:color="auto" w:fill="F1F5F9"/>
          </w:tcPr>
          <w:p>
            <w:r/>
            <w:r>
              <w:rPr>
                <w:rFonts w:ascii="Calibri" w:hAnsi="Calibri"/>
                <w:color w:val="0F172A"/>
                <w:sz w:val="20"/>
              </w:rPr>
              <w:t>RBAC</w:t>
            </w:r>
          </w:p>
        </w:tc>
        <w:tc>
          <w:tcPr>
            <w:tcW w:type="dxa" w:w="7200"/>
            <w:vAlign w:val="center"/>
            <w:shd w:val="clear" w:color="auto" w:fill="F1F5F9"/>
          </w:tcPr>
          <w:p>
            <w:r/>
            <w:r>
              <w:rPr>
                <w:rFonts w:ascii="Calibri" w:hAnsi="Calibri"/>
                <w:color w:val="0F172A"/>
                <w:sz w:val="20"/>
              </w:rPr>
              <w:t>Role-Based Access Control</w:t>
            </w:r>
          </w:p>
        </w:tc>
      </w:tr>
      <w:tr>
        <w:tc>
          <w:tcPr>
            <w:tcW w:type="dxa" w:w="2016"/>
            <w:vAlign w:val="center"/>
          </w:tcPr>
          <w:p>
            <w:r/>
            <w:r>
              <w:rPr>
                <w:rFonts w:ascii="Calibri" w:hAnsi="Calibri"/>
                <w:color w:val="0F172A"/>
                <w:sz w:val="20"/>
              </w:rPr>
              <w:t>RPO</w:t>
            </w:r>
          </w:p>
        </w:tc>
        <w:tc>
          <w:tcPr>
            <w:tcW w:type="dxa" w:w="7200"/>
            <w:vAlign w:val="center"/>
          </w:tcPr>
          <w:p>
            <w:r/>
            <w:r>
              <w:rPr>
                <w:rFonts w:ascii="Calibri" w:hAnsi="Calibri"/>
                <w:color w:val="0F172A"/>
                <w:sz w:val="20"/>
              </w:rPr>
              <w:t>Recovery Point Objective — max acceptable data loss measured in time</w:t>
            </w:r>
          </w:p>
        </w:tc>
      </w:tr>
      <w:tr>
        <w:tc>
          <w:tcPr>
            <w:tcW w:type="dxa" w:w="2016"/>
            <w:vAlign w:val="center"/>
            <w:shd w:val="clear" w:color="auto" w:fill="F1F5F9"/>
          </w:tcPr>
          <w:p>
            <w:r/>
            <w:r>
              <w:rPr>
                <w:rFonts w:ascii="Calibri" w:hAnsi="Calibri"/>
                <w:color w:val="0F172A"/>
                <w:sz w:val="20"/>
              </w:rPr>
              <w:t>RTO</w:t>
            </w:r>
          </w:p>
        </w:tc>
        <w:tc>
          <w:tcPr>
            <w:tcW w:type="dxa" w:w="7200"/>
            <w:vAlign w:val="center"/>
            <w:shd w:val="clear" w:color="auto" w:fill="F1F5F9"/>
          </w:tcPr>
          <w:p>
            <w:r/>
            <w:r>
              <w:rPr>
                <w:rFonts w:ascii="Calibri" w:hAnsi="Calibri"/>
                <w:color w:val="0F172A"/>
                <w:sz w:val="20"/>
              </w:rPr>
              <w:t>Recovery Time Objective — max acceptable downtime to restore service</w:t>
            </w:r>
          </w:p>
        </w:tc>
      </w:tr>
      <w:tr>
        <w:tc>
          <w:tcPr>
            <w:tcW w:type="dxa" w:w="2016"/>
            <w:vAlign w:val="center"/>
          </w:tcPr>
          <w:p>
            <w:r/>
            <w:r>
              <w:rPr>
                <w:rFonts w:ascii="Calibri" w:hAnsi="Calibri"/>
                <w:color w:val="0F172A"/>
                <w:sz w:val="20"/>
              </w:rPr>
              <w:t>SLA</w:t>
            </w:r>
          </w:p>
        </w:tc>
        <w:tc>
          <w:tcPr>
            <w:tcW w:type="dxa" w:w="7200"/>
            <w:vAlign w:val="center"/>
          </w:tcPr>
          <w:p>
            <w:r/>
            <w:r>
              <w:rPr>
                <w:rFonts w:ascii="Calibri" w:hAnsi="Calibri"/>
                <w:color w:val="0F172A"/>
                <w:sz w:val="20"/>
              </w:rPr>
              <w:t>Service Level Agreement</w:t>
            </w:r>
          </w:p>
        </w:tc>
      </w:tr>
      <w:tr>
        <w:tc>
          <w:tcPr>
            <w:tcW w:type="dxa" w:w="2016"/>
            <w:vAlign w:val="center"/>
            <w:shd w:val="clear" w:color="auto" w:fill="F1F5F9"/>
          </w:tcPr>
          <w:p>
            <w:r/>
            <w:r>
              <w:rPr>
                <w:rFonts w:ascii="Calibri" w:hAnsi="Calibri"/>
                <w:color w:val="0F172A"/>
                <w:sz w:val="20"/>
              </w:rPr>
              <w:t>SPOC</w:t>
            </w:r>
          </w:p>
        </w:tc>
        <w:tc>
          <w:tcPr>
            <w:tcW w:type="dxa" w:w="7200"/>
            <w:vAlign w:val="center"/>
            <w:shd w:val="clear" w:color="auto" w:fill="F1F5F9"/>
          </w:tcPr>
          <w:p>
            <w:r/>
            <w:r>
              <w:rPr>
                <w:rFonts w:ascii="Calibri" w:hAnsi="Calibri"/>
                <w:color w:val="0F172A"/>
                <w:sz w:val="20"/>
              </w:rPr>
              <w:t>Single Point Of Contact</w:t>
            </w:r>
          </w:p>
        </w:tc>
      </w:tr>
      <w:tr>
        <w:tc>
          <w:tcPr>
            <w:tcW w:type="dxa" w:w="2016"/>
            <w:vAlign w:val="center"/>
          </w:tcPr>
          <w:p>
            <w:r/>
            <w:r>
              <w:rPr>
                <w:rFonts w:ascii="Calibri" w:hAnsi="Calibri"/>
                <w:color w:val="0F172A"/>
                <w:sz w:val="20"/>
              </w:rPr>
              <w:t>SaaS</w:t>
            </w:r>
          </w:p>
        </w:tc>
        <w:tc>
          <w:tcPr>
            <w:tcW w:type="dxa" w:w="7200"/>
            <w:vAlign w:val="center"/>
          </w:tcPr>
          <w:p>
            <w:r/>
            <w:r>
              <w:rPr>
                <w:rFonts w:ascii="Calibri" w:hAnsi="Calibri"/>
                <w:color w:val="0F172A"/>
                <w:sz w:val="20"/>
              </w:rPr>
              <w:t>Software as a Service</w:t>
            </w:r>
          </w:p>
        </w:tc>
      </w:tr>
      <w:tr>
        <w:tc>
          <w:tcPr>
            <w:tcW w:type="dxa" w:w="2016"/>
            <w:vAlign w:val="center"/>
            <w:shd w:val="clear" w:color="auto" w:fill="F1F5F9"/>
          </w:tcPr>
          <w:p>
            <w:r/>
            <w:r>
              <w:rPr>
                <w:rFonts w:ascii="Calibri" w:hAnsi="Calibri"/>
                <w:color w:val="0F172A"/>
                <w:sz w:val="20"/>
              </w:rPr>
              <w:t>Tenant</w:t>
            </w:r>
          </w:p>
        </w:tc>
        <w:tc>
          <w:tcPr>
            <w:tcW w:type="dxa" w:w="7200"/>
            <w:vAlign w:val="center"/>
            <w:shd w:val="clear" w:color="auto" w:fill="F1F5F9"/>
          </w:tcPr>
          <w:p>
            <w:r/>
            <w:r>
              <w:rPr>
                <w:rFonts w:ascii="Calibri" w:hAnsi="Calibri"/>
                <w:color w:val="0F172A"/>
                <w:sz w:val="20"/>
              </w:rPr>
              <w:t>Isolated logical instance within the multi-tenant SaaS platform</w:t>
            </w:r>
          </w:p>
        </w:tc>
      </w:tr>
      <w:tr>
        <w:tc>
          <w:tcPr>
            <w:tcW w:type="dxa" w:w="2016"/>
            <w:vAlign w:val="center"/>
          </w:tcPr>
          <w:p>
            <w:r/>
            <w:r>
              <w:rPr>
                <w:rFonts w:ascii="Calibri" w:hAnsi="Calibri"/>
                <w:color w:val="0F172A"/>
                <w:sz w:val="20"/>
              </w:rPr>
              <w:t>UAT</w:t>
            </w:r>
          </w:p>
        </w:tc>
        <w:tc>
          <w:tcPr>
            <w:tcW w:type="dxa" w:w="7200"/>
            <w:vAlign w:val="center"/>
          </w:tcPr>
          <w:p>
            <w:r/>
            <w:r>
              <w:rPr>
                <w:rFonts w:ascii="Calibri" w:hAnsi="Calibri"/>
                <w:color w:val="0F172A"/>
                <w:sz w:val="20"/>
              </w:rPr>
              <w:t>User Acceptance Testing</w:t>
            </w:r>
          </w:p>
        </w:tc>
      </w:tr>
      <w:tr>
        <w:tc>
          <w:tcPr>
            <w:tcW w:type="dxa" w:w="2016"/>
            <w:vAlign w:val="center"/>
            <w:shd w:val="clear" w:color="auto" w:fill="F1F5F9"/>
          </w:tcPr>
          <w:p>
            <w:r/>
            <w:r>
              <w:rPr>
                <w:rFonts w:ascii="Calibri" w:hAnsi="Calibri"/>
                <w:color w:val="0F172A"/>
                <w:sz w:val="20"/>
              </w:rPr>
              <w:t>WCAG</w:t>
            </w:r>
          </w:p>
        </w:tc>
        <w:tc>
          <w:tcPr>
            <w:tcW w:type="dxa" w:w="7200"/>
            <w:vAlign w:val="center"/>
            <w:shd w:val="clear" w:color="auto" w:fill="F1F5F9"/>
          </w:tcPr>
          <w:p>
            <w:r/>
            <w:r>
              <w:rPr>
                <w:rFonts w:ascii="Calibri" w:hAnsi="Calibri"/>
                <w:color w:val="0F172A"/>
                <w:sz w:val="20"/>
              </w:rPr>
              <w:t>Web Content Accessibility Guidelines</w:t>
            </w:r>
          </w:p>
        </w:tc>
      </w:tr>
    </w:tbl>
    <w:p>
      <w:r>
        <w:br w:type="page"/>
      </w:r>
    </w:p>
    <w:p>
      <w:pPr>
        <w:spacing w:before="280" w:after="120"/>
        <w:pBdr>
          <w:bottom w:val="single" w:sz="8" w:color="1E3A8A"/>
        </w:pBdr>
      </w:pPr>
      <w:r>
        <w:rPr>
          <w:rFonts w:ascii="Calibri" w:hAnsi="Calibri"/>
          <w:b/>
          <w:color w:val="1E3A8A"/>
          <w:sz w:val="36"/>
        </w:rPr>
        <w:t>12. Approval &amp; Sign-off</w:t>
      </w:r>
    </w:p>
    <w:p>
      <w:pPr>
        <w:spacing w:after="80"/>
      </w:pPr>
      <w:r>
        <w:rPr>
          <w:rFonts w:ascii="Calibri" w:hAnsi="Calibri"/>
          <w:b w:val="0"/>
          <w:i w:val="0"/>
          <w:color w:val="0F172A"/>
          <w:sz w:val="22"/>
        </w:rPr>
        <w:t>The undersigned acknowledge that this Business Requirements Document represents the agreed-upon business needs of Perfect Solutions for the AurborBloom HRMS implementation. Material changes to this document shall be processed via formal change control.</w:t>
      </w:r>
    </w:p>
    <w:p>
      <w:pPr>
        <w:spacing w:after="80"/>
      </w:pPr>
      <w:r>
        <w:rPr>
          <w:rFonts w:ascii="Calibri" w:hAnsi="Calibri"/>
          <w:b w:val="0"/>
          <w:i w:val="0"/>
          <w:color w:val="0F172A"/>
          <w:sz w:val="22"/>
        </w:rPr>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160"/>
            <w:shd w:val="clear" w:color="auto" w:fill="1E3A8A"/>
            <w:vAlign w:val="center"/>
          </w:tcPr>
          <w:p>
            <w:r/>
            <w:r>
              <w:rPr>
                <w:rFonts w:ascii="Calibri" w:hAnsi="Calibri"/>
                <w:b/>
                <w:color w:val="FFFFFF"/>
                <w:sz w:val="21"/>
              </w:rPr>
              <w:t>Role</w:t>
            </w:r>
          </w:p>
        </w:tc>
        <w:tc>
          <w:tcPr>
            <w:tcW w:type="dxa" w:w="3744"/>
            <w:shd w:val="clear" w:color="auto" w:fill="1E3A8A"/>
            <w:vAlign w:val="center"/>
          </w:tcPr>
          <w:p>
            <w:r/>
            <w:r>
              <w:rPr>
                <w:rFonts w:ascii="Calibri" w:hAnsi="Calibri"/>
                <w:b/>
                <w:color w:val="FFFFFF"/>
                <w:sz w:val="21"/>
              </w:rPr>
              <w:t>Name</w:t>
            </w:r>
          </w:p>
        </w:tc>
        <w:tc>
          <w:tcPr>
            <w:tcW w:type="dxa" w:w="2304"/>
            <w:shd w:val="clear" w:color="auto" w:fill="1E3A8A"/>
            <w:vAlign w:val="center"/>
          </w:tcPr>
          <w:p>
            <w:r/>
            <w:r>
              <w:rPr>
                <w:rFonts w:ascii="Calibri" w:hAnsi="Calibri"/>
                <w:b/>
                <w:color w:val="FFFFFF"/>
                <w:sz w:val="21"/>
              </w:rPr>
              <w:t>Signature</w:t>
            </w:r>
          </w:p>
        </w:tc>
        <w:tc>
          <w:tcPr>
            <w:tcW w:type="dxa" w:w="1152"/>
            <w:shd w:val="clear" w:color="auto" w:fill="1E3A8A"/>
            <w:vAlign w:val="center"/>
          </w:tcPr>
          <w:p>
            <w:r/>
            <w:r>
              <w:rPr>
                <w:rFonts w:ascii="Calibri" w:hAnsi="Calibri"/>
                <w:b/>
                <w:color w:val="FFFFFF"/>
                <w:sz w:val="21"/>
              </w:rPr>
              <w:t>Date</w:t>
            </w:r>
          </w:p>
        </w:tc>
      </w:tr>
      <w:tr>
        <w:tc>
          <w:tcPr>
            <w:tcW w:type="dxa" w:w="2160"/>
            <w:vAlign w:val="center"/>
            <w:shd w:val="clear" w:color="auto" w:fill="F1F5F9"/>
          </w:tcPr>
          <w:p>
            <w:r/>
            <w:r>
              <w:rPr>
                <w:rFonts w:ascii="Calibri" w:hAnsi="Calibri"/>
                <w:color w:val="0F172A"/>
                <w:sz w:val="20"/>
              </w:rPr>
              <w:t>Executive Sponsor</w:t>
            </w:r>
          </w:p>
        </w:tc>
        <w:tc>
          <w:tcPr>
            <w:tcW w:type="dxa" w:w="3744"/>
            <w:vAlign w:val="center"/>
            <w:shd w:val="clear" w:color="auto" w:fill="F1F5F9"/>
          </w:tcPr>
          <w:p>
            <w:r/>
            <w:r>
              <w:rPr>
                <w:rFonts w:ascii="Calibri" w:hAnsi="Calibri"/>
                <w:color w:val="0F172A"/>
                <w:sz w:val="20"/>
              </w:rPr>
              <w:t>Director, IT Services — Perfect Solutions</w:t>
            </w:r>
          </w:p>
        </w:tc>
        <w:tc>
          <w:tcPr>
            <w:tcW w:type="dxa" w:w="2304"/>
            <w:vAlign w:val="center"/>
            <w:shd w:val="clear" w:color="auto" w:fill="F1F5F9"/>
          </w:tcPr>
          <w:p>
            <w:r/>
            <w:r>
              <w:rPr>
                <w:rFonts w:ascii="Calibri" w:hAnsi="Calibri"/>
                <w:color w:val="0F172A"/>
                <w:sz w:val="20"/>
              </w:rPr>
              <w:t>_____________________</w:t>
            </w:r>
          </w:p>
        </w:tc>
        <w:tc>
          <w:tcPr>
            <w:tcW w:type="dxa" w:w="1152"/>
            <w:vAlign w:val="center"/>
            <w:shd w:val="clear" w:color="auto" w:fill="F1F5F9"/>
          </w:tcPr>
          <w:p>
            <w:r/>
            <w:r>
              <w:rPr>
                <w:rFonts w:ascii="Calibri" w:hAnsi="Calibri"/>
                <w:color w:val="0F172A"/>
                <w:sz w:val="20"/>
              </w:rPr>
              <w:t>__________</w:t>
            </w:r>
          </w:p>
        </w:tc>
      </w:tr>
      <w:tr>
        <w:tc>
          <w:tcPr>
            <w:tcW w:type="dxa" w:w="2160"/>
            <w:vAlign w:val="center"/>
          </w:tcPr>
          <w:p>
            <w:r/>
            <w:r>
              <w:rPr>
                <w:rFonts w:ascii="Calibri" w:hAnsi="Calibri"/>
                <w:color w:val="0F172A"/>
                <w:sz w:val="20"/>
              </w:rPr>
              <w:t>Business Owner</w:t>
            </w:r>
          </w:p>
        </w:tc>
        <w:tc>
          <w:tcPr>
            <w:tcW w:type="dxa" w:w="3744"/>
            <w:vAlign w:val="center"/>
          </w:tcPr>
          <w:p>
            <w:r/>
            <w:r>
              <w:rPr>
                <w:rFonts w:ascii="Calibri" w:hAnsi="Calibri"/>
                <w:color w:val="0F172A"/>
                <w:sz w:val="20"/>
              </w:rPr>
              <w:t>Head of Human Resources — Perfect Solutions</w:t>
            </w:r>
          </w:p>
        </w:tc>
        <w:tc>
          <w:tcPr>
            <w:tcW w:type="dxa" w:w="2304"/>
            <w:vAlign w:val="center"/>
          </w:tcPr>
          <w:p>
            <w:r/>
            <w:r>
              <w:rPr>
                <w:rFonts w:ascii="Calibri" w:hAnsi="Calibri"/>
                <w:color w:val="0F172A"/>
                <w:sz w:val="20"/>
              </w:rPr>
              <w:t>_____________________</w:t>
            </w:r>
          </w:p>
        </w:tc>
        <w:tc>
          <w:tcPr>
            <w:tcW w:type="dxa" w:w="1152"/>
            <w:vAlign w:val="center"/>
          </w:tcPr>
          <w:p>
            <w:r/>
            <w:r>
              <w:rPr>
                <w:rFonts w:ascii="Calibri" w:hAnsi="Calibri"/>
                <w:color w:val="0F172A"/>
                <w:sz w:val="20"/>
              </w:rPr>
              <w:t>__________</w:t>
            </w:r>
          </w:p>
        </w:tc>
      </w:tr>
      <w:tr>
        <w:tc>
          <w:tcPr>
            <w:tcW w:type="dxa" w:w="2160"/>
            <w:vAlign w:val="center"/>
            <w:shd w:val="clear" w:color="auto" w:fill="F1F5F9"/>
          </w:tcPr>
          <w:p>
            <w:r/>
            <w:r>
              <w:rPr>
                <w:rFonts w:ascii="Calibri" w:hAnsi="Calibri"/>
                <w:color w:val="0F172A"/>
                <w:sz w:val="20"/>
              </w:rPr>
              <w:t>Financial Approver</w:t>
            </w:r>
          </w:p>
        </w:tc>
        <w:tc>
          <w:tcPr>
            <w:tcW w:type="dxa" w:w="3744"/>
            <w:vAlign w:val="center"/>
            <w:shd w:val="clear" w:color="auto" w:fill="F1F5F9"/>
          </w:tcPr>
          <w:p>
            <w:r/>
            <w:r>
              <w:rPr>
                <w:rFonts w:ascii="Calibri" w:hAnsi="Calibri"/>
                <w:color w:val="0F172A"/>
                <w:sz w:val="20"/>
              </w:rPr>
              <w:t>Chief Financial Officer — Perfect Solutions</w:t>
            </w:r>
          </w:p>
        </w:tc>
        <w:tc>
          <w:tcPr>
            <w:tcW w:type="dxa" w:w="2304"/>
            <w:vAlign w:val="center"/>
            <w:shd w:val="clear" w:color="auto" w:fill="F1F5F9"/>
          </w:tcPr>
          <w:p>
            <w:r/>
            <w:r>
              <w:rPr>
                <w:rFonts w:ascii="Calibri" w:hAnsi="Calibri"/>
                <w:color w:val="0F172A"/>
                <w:sz w:val="20"/>
              </w:rPr>
              <w:t>_____________________</w:t>
            </w:r>
          </w:p>
        </w:tc>
        <w:tc>
          <w:tcPr>
            <w:tcW w:type="dxa" w:w="1152"/>
            <w:vAlign w:val="center"/>
            <w:shd w:val="clear" w:color="auto" w:fill="F1F5F9"/>
          </w:tcPr>
          <w:p>
            <w:r/>
            <w:r>
              <w:rPr>
                <w:rFonts w:ascii="Calibri" w:hAnsi="Calibri"/>
                <w:color w:val="0F172A"/>
                <w:sz w:val="20"/>
              </w:rPr>
              <w:t>__________</w:t>
            </w:r>
          </w:p>
        </w:tc>
      </w:tr>
      <w:tr>
        <w:tc>
          <w:tcPr>
            <w:tcW w:type="dxa" w:w="2160"/>
            <w:vAlign w:val="center"/>
          </w:tcPr>
          <w:p>
            <w:r/>
            <w:r>
              <w:rPr>
                <w:rFonts w:ascii="Calibri" w:hAnsi="Calibri"/>
                <w:color w:val="0F172A"/>
                <w:sz w:val="20"/>
              </w:rPr>
              <w:t>Implementation Lead</w:t>
            </w:r>
          </w:p>
        </w:tc>
        <w:tc>
          <w:tcPr>
            <w:tcW w:type="dxa" w:w="3744"/>
            <w:vAlign w:val="center"/>
          </w:tcPr>
          <w:p>
            <w:r/>
            <w:r>
              <w:rPr>
                <w:rFonts w:ascii="Calibri" w:hAnsi="Calibri"/>
                <w:color w:val="0F172A"/>
                <w:sz w:val="20"/>
              </w:rPr>
              <w:t>AurborBloom Delivery</w:t>
            </w:r>
          </w:p>
        </w:tc>
        <w:tc>
          <w:tcPr>
            <w:tcW w:type="dxa" w:w="2304"/>
            <w:vAlign w:val="center"/>
          </w:tcPr>
          <w:p>
            <w:r/>
            <w:r>
              <w:rPr>
                <w:rFonts w:ascii="Calibri" w:hAnsi="Calibri"/>
                <w:color w:val="0F172A"/>
                <w:sz w:val="20"/>
              </w:rPr>
              <w:t>_____________________</w:t>
            </w:r>
          </w:p>
        </w:tc>
        <w:tc>
          <w:tcPr>
            <w:tcW w:type="dxa" w:w="1152"/>
            <w:vAlign w:val="center"/>
          </w:tcPr>
          <w:p>
            <w:r/>
            <w:r>
              <w:rPr>
                <w:rFonts w:ascii="Calibri" w:hAnsi="Calibri"/>
                <w:color w:val="0F172A"/>
                <w:sz w:val="20"/>
              </w:rPr>
              <w:t>__________</w:t>
            </w:r>
          </w:p>
        </w:tc>
      </w:tr>
      <w:tr>
        <w:tc>
          <w:tcPr>
            <w:tcW w:type="dxa" w:w="2160"/>
            <w:vAlign w:val="center"/>
            <w:shd w:val="clear" w:color="auto" w:fill="F1F5F9"/>
          </w:tcPr>
          <w:p>
            <w:r/>
            <w:r>
              <w:rPr>
                <w:rFonts w:ascii="Calibri" w:hAnsi="Calibri"/>
                <w:color w:val="0F172A"/>
                <w:sz w:val="20"/>
              </w:rPr>
              <w:t>Product Manager</w:t>
            </w:r>
          </w:p>
        </w:tc>
        <w:tc>
          <w:tcPr>
            <w:tcW w:type="dxa" w:w="3744"/>
            <w:vAlign w:val="center"/>
            <w:shd w:val="clear" w:color="auto" w:fill="F1F5F9"/>
          </w:tcPr>
          <w:p>
            <w:r/>
            <w:r>
              <w:rPr>
                <w:rFonts w:ascii="Calibri" w:hAnsi="Calibri"/>
                <w:color w:val="0F172A"/>
                <w:sz w:val="20"/>
              </w:rPr>
              <w:t>AurborBloom Product</w:t>
            </w:r>
          </w:p>
        </w:tc>
        <w:tc>
          <w:tcPr>
            <w:tcW w:type="dxa" w:w="2304"/>
            <w:vAlign w:val="center"/>
            <w:shd w:val="clear" w:color="auto" w:fill="F1F5F9"/>
          </w:tcPr>
          <w:p>
            <w:r/>
            <w:r>
              <w:rPr>
                <w:rFonts w:ascii="Calibri" w:hAnsi="Calibri"/>
                <w:color w:val="0F172A"/>
                <w:sz w:val="20"/>
              </w:rPr>
              <w:t>_____________________</w:t>
            </w:r>
          </w:p>
        </w:tc>
        <w:tc>
          <w:tcPr>
            <w:tcW w:type="dxa" w:w="1152"/>
            <w:vAlign w:val="center"/>
            <w:shd w:val="clear" w:color="auto" w:fill="F1F5F9"/>
          </w:tcPr>
          <w:p>
            <w:r/>
            <w:r>
              <w:rPr>
                <w:rFonts w:ascii="Calibri" w:hAnsi="Calibri"/>
                <w:color w:val="0F172A"/>
                <w:sz w:val="20"/>
              </w:rPr>
              <w:t>__________</w:t>
            </w:r>
          </w:p>
        </w:tc>
      </w:tr>
    </w:tbl>
    <w:p>
      <w:r>
        <w:br w:type="page"/>
      </w:r>
    </w:p>
    <w:p>
      <w:pPr>
        <w:spacing w:before="280" w:after="120"/>
        <w:pBdr>
          <w:bottom w:val="single" w:sz="8" w:color="1E3A8A"/>
        </w:pBdr>
      </w:pPr>
      <w:r>
        <w:rPr>
          <w:rFonts w:ascii="Calibri" w:hAnsi="Calibri"/>
          <w:b/>
          <w:color w:val="1E3A8A"/>
          <w:sz w:val="36"/>
        </w:rPr>
        <w:t>Appendix A — Portal Walkthrough (Screenshots)</w:t>
      </w:r>
    </w:p>
    <w:p>
      <w:pPr>
        <w:spacing w:after="80"/>
      </w:pPr>
      <w:r>
        <w:rPr>
          <w:rFonts w:ascii="Calibri" w:hAnsi="Calibri"/>
          <w:b w:val="0"/>
          <w:i w:val="0"/>
          <w:color w:val="0F172A"/>
          <w:sz w:val="22"/>
        </w:rPr>
        <w:t>This appendix presents annotated screen captures from the live Perfect Solutions tenant of the AurborBloom HRMS portal. Screens are grouped by role to illustrate how the platform satisfies the requirements stated earlier in this document. All screens are rendered on the perfectsolutions tenant with full brand styling (logo, primary color #1E3A8A) applied automatically.</w:t>
      </w:r>
    </w:p>
    <w:p>
      <w:pPr>
        <w:spacing w:before="160" w:after="120"/>
      </w:pPr>
      <w:r>
        <w:rPr>
          <w:rFonts w:ascii="Calibri" w:hAnsi="Calibri"/>
          <w:b/>
          <w:color w:val="1E3A8A"/>
          <w:sz w:val="32"/>
        </w:rPr>
        <w:t>A.1 Public / Tenant-Branded Pages</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A1 — Tenant Landing</w:t>
            </w:r>
          </w:p>
        </w:tc>
      </w:tr>
    </w:tbl>
    <w:p>
      <w:pPr>
        <w:spacing w:before="0" w:after="40"/>
        <w:jc w:val="center"/>
      </w:pPr>
      <w:r>
        <w:drawing>
          <wp:inline xmlns:a="http://schemas.openxmlformats.org/drawingml/2006/main" xmlns:pic="http://schemas.openxmlformats.org/drawingml/2006/picture">
            <wp:extent cx="5669280" cy="2657475"/>
            <wp:docPr id="7" name="Picture 7"/>
            <wp:cNvGraphicFramePr>
              <a:graphicFrameLocks noChangeAspect="1"/>
            </wp:cNvGraphicFramePr>
            <a:graphic>
              <a:graphicData uri="http://schemas.openxmlformats.org/drawingml/2006/picture">
                <pic:pic>
                  <pic:nvPicPr>
                    <pic:cNvPr id="0" name="01_tenant_landing.png"/>
                    <pic:cNvPicPr/>
                  </pic:nvPicPr>
                  <pic:blipFill>
                    <a:blip r:embed="rId12"/>
                    <a:stretch>
                      <a:fillRect/>
                    </a:stretch>
                  </pic:blipFill>
                  <pic:spPr>
                    <a:xfrm>
                      <a:off x="0" y="0"/>
                      <a:ext cx="5669280" cy="2657475"/>
                    </a:xfrm>
                    <a:prstGeom prst="rect"/>
                  </pic:spPr>
                </pic:pic>
              </a:graphicData>
            </a:graphic>
          </wp:inline>
        </w:drawing>
      </w:r>
    </w:p>
    <w:p>
      <w:pPr>
        <w:spacing w:before="0"/>
        <w:jc w:val="center"/>
      </w:pPr>
      <w:r>
        <w:rPr>
          <w:i/>
          <w:color w:val="64748B"/>
          <w:sz w:val="19"/>
        </w:rPr>
        <w:t>Branded landing page for hr.perfectsolutions.com — logo, brand colors, and tagline applied automatically by the multi-tenant theming engine.</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A2 — Login</w:t>
            </w:r>
          </w:p>
        </w:tc>
      </w:tr>
    </w:tbl>
    <w:p>
      <w:pPr>
        <w:spacing w:before="0" w:after="40"/>
        <w:jc w:val="center"/>
      </w:pPr>
      <w:r>
        <w:drawing>
          <wp:inline xmlns:a="http://schemas.openxmlformats.org/drawingml/2006/main" xmlns:pic="http://schemas.openxmlformats.org/drawingml/2006/picture">
            <wp:extent cx="5669280" cy="2657475"/>
            <wp:docPr id="8" name="Picture 8"/>
            <wp:cNvGraphicFramePr>
              <a:graphicFrameLocks noChangeAspect="1"/>
            </wp:cNvGraphicFramePr>
            <a:graphic>
              <a:graphicData uri="http://schemas.openxmlformats.org/drawingml/2006/picture">
                <pic:pic>
                  <pic:nvPicPr>
                    <pic:cNvPr id="0" name="02_login.png"/>
                    <pic:cNvPicPr/>
                  </pic:nvPicPr>
                  <pic:blipFill>
                    <a:blip r:embed="rId17"/>
                    <a:stretch>
                      <a:fillRect/>
                    </a:stretch>
                  </pic:blipFill>
                  <pic:spPr>
                    <a:xfrm>
                      <a:off x="0" y="0"/>
                      <a:ext cx="5669280" cy="2657475"/>
                    </a:xfrm>
                    <a:prstGeom prst="rect"/>
                  </pic:spPr>
                </pic:pic>
              </a:graphicData>
            </a:graphic>
          </wp:inline>
        </w:drawing>
      </w:r>
    </w:p>
    <w:p>
      <w:pPr>
        <w:spacing w:before="0"/>
        <w:jc w:val="center"/>
      </w:pPr>
      <w:r>
        <w:rPr>
          <w:i/>
          <w:color w:val="64748B"/>
          <w:sz w:val="19"/>
        </w:rPr>
        <w:t>Login experience inherits the tenant brand. Tenant slug captured implicitly; only Perfect Solutions credentials are accepted.</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A3 — Admin Signup (Invite-Code Gated)</w:t>
            </w:r>
          </w:p>
        </w:tc>
      </w:tr>
    </w:tbl>
    <w:p>
      <w:pPr>
        <w:spacing w:before="0" w:after="40"/>
        <w:jc w:val="center"/>
      </w:pPr>
      <w:r>
        <w:drawing>
          <wp:inline xmlns:a="http://schemas.openxmlformats.org/drawingml/2006/main" xmlns:pic="http://schemas.openxmlformats.org/drawingml/2006/picture">
            <wp:extent cx="5669280" cy="2657475"/>
            <wp:docPr id="9" name="Picture 9"/>
            <wp:cNvGraphicFramePr>
              <a:graphicFrameLocks noChangeAspect="1"/>
            </wp:cNvGraphicFramePr>
            <a:graphic>
              <a:graphicData uri="http://schemas.openxmlformats.org/drawingml/2006/picture">
                <pic:pic>
                  <pic:nvPicPr>
                    <pic:cNvPr id="0" name="03_signup.png"/>
                    <pic:cNvPicPr/>
                  </pic:nvPicPr>
                  <pic:blipFill>
                    <a:blip r:embed="rId18"/>
                    <a:stretch>
                      <a:fillRect/>
                    </a:stretch>
                  </pic:blipFill>
                  <pic:spPr>
                    <a:xfrm>
                      <a:off x="0" y="0"/>
                      <a:ext cx="5669280" cy="2657475"/>
                    </a:xfrm>
                    <a:prstGeom prst="rect"/>
                  </pic:spPr>
                </pic:pic>
              </a:graphicData>
            </a:graphic>
          </wp:inline>
        </w:drawing>
      </w:r>
    </w:p>
    <w:p>
      <w:pPr>
        <w:spacing w:before="0"/>
        <w:jc w:val="center"/>
      </w:pPr>
      <w:r>
        <w:rPr>
          <w:i/>
          <w:color w:val="64748B"/>
          <w:sz w:val="19"/>
        </w:rPr>
        <w:t>New tenant admins must present a tenant-specific invite code to register, enforcing the secure onboarding flow.</w:t>
      </w:r>
    </w:p>
    <w:p>
      <w:pPr>
        <w:spacing w:after="80"/>
      </w:pPr>
      <w:r>
        <w:rPr>
          <w:rFonts w:ascii="Calibri" w:hAnsi="Calibri"/>
          <w:b w:val="0"/>
          <w:i w:val="0"/>
          <w:color w:val="0F172A"/>
          <w:sz w:val="22"/>
        </w:rPr>
      </w:r>
    </w:p>
    <w:p>
      <w:r>
        <w:br w:type="page"/>
      </w:r>
    </w:p>
    <w:p>
      <w:pPr>
        <w:spacing w:before="160" w:after="120"/>
      </w:pPr>
      <w:r>
        <w:rPr>
          <w:rFonts w:ascii="Calibri" w:hAnsi="Calibri"/>
          <w:b/>
          <w:color w:val="1E3A8A"/>
          <w:sz w:val="32"/>
        </w:rPr>
        <w:t>A.2 Admin / Manager Views</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A4 — Admin Dashboard</w:t>
            </w:r>
          </w:p>
        </w:tc>
      </w:tr>
    </w:tbl>
    <w:p>
      <w:pPr>
        <w:spacing w:before="0" w:after="40"/>
        <w:jc w:val="center"/>
      </w:pPr>
      <w:r>
        <w:drawing>
          <wp:inline xmlns:a="http://schemas.openxmlformats.org/drawingml/2006/main" xmlns:pic="http://schemas.openxmlformats.org/drawingml/2006/picture">
            <wp:extent cx="5669280" cy="2657475"/>
            <wp:docPr id="10" name="Picture 10"/>
            <wp:cNvGraphicFramePr>
              <a:graphicFrameLocks noChangeAspect="1"/>
            </wp:cNvGraphicFramePr>
            <a:graphic>
              <a:graphicData uri="http://schemas.openxmlformats.org/drawingml/2006/picture">
                <pic:pic>
                  <pic:nvPicPr>
                    <pic:cNvPr id="0" name="04_admin_dashboard.png"/>
                    <pic:cNvPicPr/>
                  </pic:nvPicPr>
                  <pic:blipFill>
                    <a:blip r:embed="rId19"/>
                    <a:stretch>
                      <a:fillRect/>
                    </a:stretch>
                  </pic:blipFill>
                  <pic:spPr>
                    <a:xfrm>
                      <a:off x="0" y="0"/>
                      <a:ext cx="5669280" cy="2657475"/>
                    </a:xfrm>
                    <a:prstGeom prst="rect"/>
                  </pic:spPr>
                </pic:pic>
              </a:graphicData>
            </a:graphic>
          </wp:inline>
        </w:drawing>
      </w:r>
    </w:p>
    <w:p>
      <w:pPr>
        <w:spacing w:before="0"/>
        <w:jc w:val="center"/>
      </w:pPr>
      <w:r>
        <w:rPr>
          <w:i/>
          <w:color w:val="64748B"/>
          <w:sz w:val="19"/>
        </w:rPr>
        <w:t>Unified admin landing — KPIs, recent activity, and quick access to operations modules.</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A5 — Employee Directory (Admin)</w:t>
            </w:r>
          </w:p>
        </w:tc>
      </w:tr>
    </w:tbl>
    <w:p>
      <w:pPr>
        <w:spacing w:before="0" w:after="40"/>
        <w:jc w:val="center"/>
      </w:pPr>
      <w:r>
        <w:drawing>
          <wp:inline xmlns:a="http://schemas.openxmlformats.org/drawingml/2006/main" xmlns:pic="http://schemas.openxmlformats.org/drawingml/2006/picture">
            <wp:extent cx="5669280" cy="2657475"/>
            <wp:docPr id="11" name="Picture 11"/>
            <wp:cNvGraphicFramePr>
              <a:graphicFrameLocks noChangeAspect="1"/>
            </wp:cNvGraphicFramePr>
            <a:graphic>
              <a:graphicData uri="http://schemas.openxmlformats.org/drawingml/2006/picture">
                <pic:pic>
                  <pic:nvPicPr>
                    <pic:cNvPr id="0" name="05_admin_employees.png"/>
                    <pic:cNvPicPr/>
                  </pic:nvPicPr>
                  <pic:blipFill>
                    <a:blip r:embed="rId20"/>
                    <a:stretch>
                      <a:fillRect/>
                    </a:stretch>
                  </pic:blipFill>
                  <pic:spPr>
                    <a:xfrm>
                      <a:off x="0" y="0"/>
                      <a:ext cx="5669280" cy="2657475"/>
                    </a:xfrm>
                    <a:prstGeom prst="rect"/>
                  </pic:spPr>
                </pic:pic>
              </a:graphicData>
            </a:graphic>
          </wp:inline>
        </w:drawing>
      </w:r>
    </w:p>
    <w:p>
      <w:pPr>
        <w:spacing w:before="0"/>
        <w:jc w:val="center"/>
      </w:pPr>
      <w:r>
        <w:rPr>
          <w:i/>
          <w:color w:val="64748B"/>
          <w:sz w:val="19"/>
        </w:rPr>
        <w:t>Searchable, filterable directory with role and department context. Drives every people-related workflow.</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A6 — Timesheet Approvals (Admin / Manager)</w:t>
            </w:r>
          </w:p>
        </w:tc>
      </w:tr>
    </w:tbl>
    <w:p>
      <w:pPr>
        <w:spacing w:before="0" w:after="40"/>
        <w:jc w:val="center"/>
      </w:pPr>
      <w:r>
        <w:drawing>
          <wp:inline xmlns:a="http://schemas.openxmlformats.org/drawingml/2006/main" xmlns:pic="http://schemas.openxmlformats.org/drawingml/2006/picture">
            <wp:extent cx="5669280" cy="2657475"/>
            <wp:docPr id="12" name="Picture 12"/>
            <wp:cNvGraphicFramePr>
              <a:graphicFrameLocks noChangeAspect="1"/>
            </wp:cNvGraphicFramePr>
            <a:graphic>
              <a:graphicData uri="http://schemas.openxmlformats.org/drawingml/2006/picture">
                <pic:pic>
                  <pic:nvPicPr>
                    <pic:cNvPr id="0" name="06_admin_timesheets.png"/>
                    <pic:cNvPicPr/>
                  </pic:nvPicPr>
                  <pic:blipFill>
                    <a:blip r:embed="rId21"/>
                    <a:stretch>
                      <a:fillRect/>
                    </a:stretch>
                  </pic:blipFill>
                  <pic:spPr>
                    <a:xfrm>
                      <a:off x="0" y="0"/>
                      <a:ext cx="5669280" cy="2657475"/>
                    </a:xfrm>
                    <a:prstGeom prst="rect"/>
                  </pic:spPr>
                </pic:pic>
              </a:graphicData>
            </a:graphic>
          </wp:inline>
        </w:drawing>
      </w:r>
    </w:p>
    <w:p>
      <w:pPr>
        <w:spacing w:before="0"/>
        <w:jc w:val="center"/>
      </w:pPr>
      <w:r>
        <w:rPr>
          <w:i/>
          <w:color w:val="64748B"/>
          <w:sz w:val="19"/>
        </w:rPr>
        <w:t>Pending timesheet review queue. Approve, reject, or request changes; bulk actions supported.</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A7 — Leave Approval Queue (Admin / Manager)</w:t>
            </w:r>
          </w:p>
        </w:tc>
      </w:tr>
    </w:tbl>
    <w:p>
      <w:pPr>
        <w:spacing w:before="0" w:after="40"/>
        <w:jc w:val="center"/>
      </w:pPr>
      <w:r>
        <w:drawing>
          <wp:inline xmlns:a="http://schemas.openxmlformats.org/drawingml/2006/main" xmlns:pic="http://schemas.openxmlformats.org/drawingml/2006/picture">
            <wp:extent cx="5669280" cy="2657475"/>
            <wp:docPr id="13" name="Picture 13"/>
            <wp:cNvGraphicFramePr>
              <a:graphicFrameLocks noChangeAspect="1"/>
            </wp:cNvGraphicFramePr>
            <a:graphic>
              <a:graphicData uri="http://schemas.openxmlformats.org/drawingml/2006/picture">
                <pic:pic>
                  <pic:nvPicPr>
                    <pic:cNvPr id="0" name="07_admin_leave.png"/>
                    <pic:cNvPicPr/>
                  </pic:nvPicPr>
                  <pic:blipFill>
                    <a:blip r:embed="rId15"/>
                    <a:stretch>
                      <a:fillRect/>
                    </a:stretch>
                  </pic:blipFill>
                  <pic:spPr>
                    <a:xfrm>
                      <a:off x="0" y="0"/>
                      <a:ext cx="5669280" cy="2657475"/>
                    </a:xfrm>
                    <a:prstGeom prst="rect"/>
                  </pic:spPr>
                </pic:pic>
              </a:graphicData>
            </a:graphic>
          </wp:inline>
        </w:drawing>
      </w:r>
    </w:p>
    <w:p>
      <w:pPr>
        <w:spacing w:before="0"/>
        <w:jc w:val="center"/>
      </w:pPr>
      <w:r>
        <w:rPr>
          <w:i/>
          <w:color w:val="64748B"/>
          <w:sz w:val="19"/>
        </w:rPr>
        <w:t>Pending leave requests with balance, overlap, and policy context for one-click decisions.</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A8 — Tickets / Helpdesk (Admin View)</w:t>
            </w:r>
          </w:p>
        </w:tc>
      </w:tr>
    </w:tbl>
    <w:p>
      <w:pPr>
        <w:spacing w:before="0" w:after="40"/>
        <w:jc w:val="center"/>
      </w:pPr>
      <w:r>
        <w:drawing>
          <wp:inline xmlns:a="http://schemas.openxmlformats.org/drawingml/2006/main" xmlns:pic="http://schemas.openxmlformats.org/drawingml/2006/picture">
            <wp:extent cx="5669280" cy="2657475"/>
            <wp:docPr id="14" name="Picture 14"/>
            <wp:cNvGraphicFramePr>
              <a:graphicFrameLocks noChangeAspect="1"/>
            </wp:cNvGraphicFramePr>
            <a:graphic>
              <a:graphicData uri="http://schemas.openxmlformats.org/drawingml/2006/picture">
                <pic:pic>
                  <pic:nvPicPr>
                    <pic:cNvPr id="0" name="08_admin_tickets.png"/>
                    <pic:cNvPicPr/>
                  </pic:nvPicPr>
                  <pic:blipFill>
                    <a:blip r:embed="rId16"/>
                    <a:stretch>
                      <a:fillRect/>
                    </a:stretch>
                  </pic:blipFill>
                  <pic:spPr>
                    <a:xfrm>
                      <a:off x="0" y="0"/>
                      <a:ext cx="5669280" cy="2657475"/>
                    </a:xfrm>
                    <a:prstGeom prst="rect"/>
                  </pic:spPr>
                </pic:pic>
              </a:graphicData>
            </a:graphic>
          </wp:inline>
        </w:drawing>
      </w:r>
    </w:p>
    <w:p>
      <w:pPr>
        <w:spacing w:before="0"/>
        <w:jc w:val="center"/>
      </w:pPr>
      <w:r>
        <w:rPr>
          <w:i/>
          <w:color w:val="64748B"/>
          <w:sz w:val="19"/>
        </w:rPr>
        <w:t>Internal helpdesk with categorization, SLA visibility, and threaded responses.</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A9 — Unified Calendar</w:t>
            </w:r>
          </w:p>
        </w:tc>
      </w:tr>
    </w:tbl>
    <w:p>
      <w:pPr>
        <w:spacing w:before="0" w:after="40"/>
        <w:jc w:val="center"/>
      </w:pPr>
      <w:r>
        <w:drawing>
          <wp:inline xmlns:a="http://schemas.openxmlformats.org/drawingml/2006/main" xmlns:pic="http://schemas.openxmlformats.org/drawingml/2006/picture">
            <wp:extent cx="5669280" cy="2657475"/>
            <wp:docPr id="15" name="Picture 15"/>
            <wp:cNvGraphicFramePr>
              <a:graphicFrameLocks noChangeAspect="1"/>
            </wp:cNvGraphicFramePr>
            <a:graphic>
              <a:graphicData uri="http://schemas.openxmlformats.org/drawingml/2006/picture">
                <pic:pic>
                  <pic:nvPicPr>
                    <pic:cNvPr id="0" name="09_admin_calendar.png"/>
                    <pic:cNvPicPr/>
                  </pic:nvPicPr>
                  <pic:blipFill>
                    <a:blip r:embed="rId22"/>
                    <a:stretch>
                      <a:fillRect/>
                    </a:stretch>
                  </pic:blipFill>
                  <pic:spPr>
                    <a:xfrm>
                      <a:off x="0" y="0"/>
                      <a:ext cx="5669280" cy="2657475"/>
                    </a:xfrm>
                    <a:prstGeom prst="rect"/>
                  </pic:spPr>
                </pic:pic>
              </a:graphicData>
            </a:graphic>
          </wp:inline>
        </w:drawing>
      </w:r>
    </w:p>
    <w:p>
      <w:pPr>
        <w:spacing w:before="0"/>
        <w:jc w:val="center"/>
      </w:pPr>
      <w:r>
        <w:rPr>
          <w:i/>
          <w:color w:val="64748B"/>
          <w:sz w:val="19"/>
        </w:rPr>
        <w:t>Approved leaves, company events, and scheduled meetings on a single calendar — Day, Week, Month, Agenda views.</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A10 — Projects &amp; Allocation</w:t>
            </w:r>
          </w:p>
        </w:tc>
      </w:tr>
    </w:tbl>
    <w:p>
      <w:pPr>
        <w:spacing w:before="0" w:after="40"/>
        <w:jc w:val="center"/>
      </w:pPr>
      <w:r>
        <w:drawing>
          <wp:inline xmlns:a="http://schemas.openxmlformats.org/drawingml/2006/main" xmlns:pic="http://schemas.openxmlformats.org/drawingml/2006/picture">
            <wp:extent cx="5669280" cy="2657475"/>
            <wp:docPr id="16" name="Picture 16"/>
            <wp:cNvGraphicFramePr>
              <a:graphicFrameLocks noChangeAspect="1"/>
            </wp:cNvGraphicFramePr>
            <a:graphic>
              <a:graphicData uri="http://schemas.openxmlformats.org/drawingml/2006/picture">
                <pic:pic>
                  <pic:nvPicPr>
                    <pic:cNvPr id="0" name="10_admin_projects.png"/>
                    <pic:cNvPicPr/>
                  </pic:nvPicPr>
                  <pic:blipFill>
                    <a:blip r:embed="rId23"/>
                    <a:stretch>
                      <a:fillRect/>
                    </a:stretch>
                  </pic:blipFill>
                  <pic:spPr>
                    <a:xfrm>
                      <a:off x="0" y="0"/>
                      <a:ext cx="5669280" cy="2657475"/>
                    </a:xfrm>
                    <a:prstGeom prst="rect"/>
                  </pic:spPr>
                </pic:pic>
              </a:graphicData>
            </a:graphic>
          </wp:inline>
        </w:drawing>
      </w:r>
    </w:p>
    <w:p>
      <w:pPr>
        <w:spacing w:before="0"/>
        <w:jc w:val="center"/>
      </w:pPr>
      <w:r>
        <w:rPr>
          <w:i/>
          <w:color w:val="64748B"/>
          <w:sz w:val="19"/>
        </w:rPr>
        <w:t>Project list with capacity and allocation overview — drives the utilization reports.</w:t>
      </w:r>
    </w:p>
    <w:p>
      <w:pPr>
        <w:spacing w:after="80"/>
      </w:pPr>
      <w:r>
        <w:rPr>
          <w:rFonts w:ascii="Calibri" w:hAnsi="Calibri"/>
          <w:b w:val="0"/>
          <w:i w:val="0"/>
          <w:color w:val="0F172A"/>
          <w:sz w:val="22"/>
        </w:rPr>
      </w:r>
    </w:p>
    <w:p>
      <w:r>
        <w:br w:type="page"/>
      </w:r>
    </w:p>
    <w:p>
      <w:pPr>
        <w:spacing w:before="160" w:after="120"/>
      </w:pPr>
      <w:r>
        <w:rPr>
          <w:rFonts w:ascii="Calibri" w:hAnsi="Calibri"/>
          <w:b/>
          <w:color w:val="1E3A8A"/>
          <w:sz w:val="32"/>
        </w:rPr>
        <w:t>A.3 Employee Self-Service Views</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A11 — Employee Dashboard</w:t>
            </w:r>
          </w:p>
        </w:tc>
      </w:tr>
    </w:tbl>
    <w:p>
      <w:pPr>
        <w:spacing w:before="0" w:after="40"/>
        <w:jc w:val="center"/>
      </w:pPr>
      <w:r>
        <w:drawing>
          <wp:inline xmlns:a="http://schemas.openxmlformats.org/drawingml/2006/main" xmlns:pic="http://schemas.openxmlformats.org/drawingml/2006/picture">
            <wp:extent cx="5669280" cy="2657475"/>
            <wp:docPr id="17" name="Picture 17"/>
            <wp:cNvGraphicFramePr>
              <a:graphicFrameLocks noChangeAspect="1"/>
            </wp:cNvGraphicFramePr>
            <a:graphic>
              <a:graphicData uri="http://schemas.openxmlformats.org/drawingml/2006/picture">
                <pic:pic>
                  <pic:nvPicPr>
                    <pic:cNvPr id="0" name="11_employee_dashboard.png"/>
                    <pic:cNvPicPr/>
                  </pic:nvPicPr>
                  <pic:blipFill>
                    <a:blip r:embed="rId24"/>
                    <a:stretch>
                      <a:fillRect/>
                    </a:stretch>
                  </pic:blipFill>
                  <pic:spPr>
                    <a:xfrm>
                      <a:off x="0" y="0"/>
                      <a:ext cx="5669280" cy="2657475"/>
                    </a:xfrm>
                    <a:prstGeom prst="rect"/>
                  </pic:spPr>
                </pic:pic>
              </a:graphicData>
            </a:graphic>
          </wp:inline>
        </w:drawing>
      </w:r>
    </w:p>
    <w:p>
      <w:pPr>
        <w:spacing w:before="0"/>
        <w:jc w:val="center"/>
      </w:pPr>
      <w:r>
        <w:rPr>
          <w:i/>
          <w:color w:val="64748B"/>
          <w:sz w:val="19"/>
        </w:rPr>
        <w:t>Self-service home: clock in/out, pending requests, announcements, quick actions.</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A12 — Employee Leave</w:t>
            </w:r>
          </w:p>
        </w:tc>
      </w:tr>
    </w:tbl>
    <w:p>
      <w:pPr>
        <w:spacing w:before="0" w:after="40"/>
        <w:jc w:val="center"/>
      </w:pPr>
      <w:r>
        <w:drawing>
          <wp:inline xmlns:a="http://schemas.openxmlformats.org/drawingml/2006/main" xmlns:pic="http://schemas.openxmlformats.org/drawingml/2006/picture">
            <wp:extent cx="5669280" cy="2657475"/>
            <wp:docPr id="18" name="Picture 18"/>
            <wp:cNvGraphicFramePr>
              <a:graphicFrameLocks noChangeAspect="1"/>
            </wp:cNvGraphicFramePr>
            <a:graphic>
              <a:graphicData uri="http://schemas.openxmlformats.org/drawingml/2006/picture">
                <pic:pic>
                  <pic:nvPicPr>
                    <pic:cNvPr id="0" name="12_employee_leave.png"/>
                    <pic:cNvPicPr/>
                  </pic:nvPicPr>
                  <pic:blipFill>
                    <a:blip r:embed="rId25"/>
                    <a:stretch>
                      <a:fillRect/>
                    </a:stretch>
                  </pic:blipFill>
                  <pic:spPr>
                    <a:xfrm>
                      <a:off x="0" y="0"/>
                      <a:ext cx="5669280" cy="2657475"/>
                    </a:xfrm>
                    <a:prstGeom prst="rect"/>
                  </pic:spPr>
                </pic:pic>
              </a:graphicData>
            </a:graphic>
          </wp:inline>
        </w:drawing>
      </w:r>
    </w:p>
    <w:p>
      <w:pPr>
        <w:spacing w:before="0"/>
        <w:jc w:val="center"/>
      </w:pPr>
      <w:r>
        <w:rPr>
          <w:i/>
          <w:color w:val="64748B"/>
          <w:sz w:val="19"/>
        </w:rPr>
        <w:t>Real-time leave balance with request submission, status tracking, and PDF export.</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A13 — Document Vault</w:t>
            </w:r>
          </w:p>
        </w:tc>
      </w:tr>
    </w:tbl>
    <w:p>
      <w:pPr>
        <w:spacing w:before="0" w:after="40"/>
        <w:jc w:val="center"/>
      </w:pPr>
      <w:r>
        <w:drawing>
          <wp:inline xmlns:a="http://schemas.openxmlformats.org/drawingml/2006/main" xmlns:pic="http://schemas.openxmlformats.org/drawingml/2006/picture">
            <wp:extent cx="5669280" cy="2657475"/>
            <wp:docPr id="19" name="Picture 19"/>
            <wp:cNvGraphicFramePr>
              <a:graphicFrameLocks noChangeAspect="1"/>
            </wp:cNvGraphicFramePr>
            <a:graphic>
              <a:graphicData uri="http://schemas.openxmlformats.org/drawingml/2006/picture">
                <pic:pic>
                  <pic:nvPicPr>
                    <pic:cNvPr id="0" name="13_employee_documents.png"/>
                    <pic:cNvPicPr/>
                  </pic:nvPicPr>
                  <pic:blipFill>
                    <a:blip r:embed="rId26"/>
                    <a:stretch>
                      <a:fillRect/>
                    </a:stretch>
                  </pic:blipFill>
                  <pic:spPr>
                    <a:xfrm>
                      <a:off x="0" y="0"/>
                      <a:ext cx="5669280" cy="2657475"/>
                    </a:xfrm>
                    <a:prstGeom prst="rect"/>
                  </pic:spPr>
                </pic:pic>
              </a:graphicData>
            </a:graphic>
          </wp:inline>
        </w:drawing>
      </w:r>
    </w:p>
    <w:p>
      <w:pPr>
        <w:spacing w:before="0"/>
        <w:jc w:val="center"/>
      </w:pPr>
      <w:r>
        <w:rPr>
          <w:i/>
          <w:color w:val="64748B"/>
          <w:sz w:val="19"/>
        </w:rPr>
        <w:t>PIN-secured personal document vault — payslips, offer letters, signed policies.</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A14 — Employee Timesheet</w:t>
            </w:r>
          </w:p>
        </w:tc>
      </w:tr>
    </w:tbl>
    <w:p>
      <w:pPr>
        <w:spacing w:before="0" w:after="40"/>
        <w:jc w:val="center"/>
      </w:pPr>
      <w:r>
        <w:drawing>
          <wp:inline xmlns:a="http://schemas.openxmlformats.org/drawingml/2006/main" xmlns:pic="http://schemas.openxmlformats.org/drawingml/2006/picture">
            <wp:extent cx="5669280" cy="2657475"/>
            <wp:docPr id="20" name="Picture 20"/>
            <wp:cNvGraphicFramePr>
              <a:graphicFrameLocks noChangeAspect="1"/>
            </wp:cNvGraphicFramePr>
            <a:graphic>
              <a:graphicData uri="http://schemas.openxmlformats.org/drawingml/2006/picture">
                <pic:pic>
                  <pic:nvPicPr>
                    <pic:cNvPr id="0" name="14_employee_timesheet.png"/>
                    <pic:cNvPicPr/>
                  </pic:nvPicPr>
                  <pic:blipFill>
                    <a:blip r:embed="rId27"/>
                    <a:stretch>
                      <a:fillRect/>
                    </a:stretch>
                  </pic:blipFill>
                  <pic:spPr>
                    <a:xfrm>
                      <a:off x="0" y="0"/>
                      <a:ext cx="5669280" cy="2657475"/>
                    </a:xfrm>
                    <a:prstGeom prst="rect"/>
                  </pic:spPr>
                </pic:pic>
              </a:graphicData>
            </a:graphic>
          </wp:inline>
        </w:drawing>
      </w:r>
    </w:p>
    <w:p>
      <w:pPr>
        <w:spacing w:before="0"/>
        <w:jc w:val="center"/>
      </w:pPr>
      <w:r>
        <w:rPr>
          <w:i/>
          <w:color w:val="64748B"/>
          <w:sz w:val="19"/>
        </w:rPr>
        <w:t>Daily/weekly entry with project tagging, drafts, and submit-for-approval workflow.</w:t>
      </w:r>
    </w:p>
    <w:p>
      <w:pPr>
        <w:spacing w:after="80"/>
      </w:pPr>
      <w:r>
        <w:rPr>
          <w:rFonts w:ascii="Calibri" w:hAnsi="Calibri"/>
          <w:b w:val="0"/>
          <w:i w:val="0"/>
          <w:color w:val="0F172A"/>
          <w:sz w:val="22"/>
        </w:rPr>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Screen A15 — Employee Tickets</w:t>
            </w:r>
          </w:p>
        </w:tc>
      </w:tr>
    </w:tbl>
    <w:p>
      <w:pPr>
        <w:spacing w:before="0" w:after="40"/>
        <w:jc w:val="center"/>
      </w:pPr>
      <w:r>
        <w:drawing>
          <wp:inline xmlns:a="http://schemas.openxmlformats.org/drawingml/2006/main" xmlns:pic="http://schemas.openxmlformats.org/drawingml/2006/picture">
            <wp:extent cx="5669280" cy="2657475"/>
            <wp:docPr id="21" name="Picture 21"/>
            <wp:cNvGraphicFramePr>
              <a:graphicFrameLocks noChangeAspect="1"/>
            </wp:cNvGraphicFramePr>
            <a:graphic>
              <a:graphicData uri="http://schemas.openxmlformats.org/drawingml/2006/picture">
                <pic:pic>
                  <pic:nvPicPr>
                    <pic:cNvPr id="0" name="15_employee_tickets.png"/>
                    <pic:cNvPicPr/>
                  </pic:nvPicPr>
                  <pic:blipFill>
                    <a:blip r:embed="rId28"/>
                    <a:stretch>
                      <a:fillRect/>
                    </a:stretch>
                  </pic:blipFill>
                  <pic:spPr>
                    <a:xfrm>
                      <a:off x="0" y="0"/>
                      <a:ext cx="5669280" cy="2657475"/>
                    </a:xfrm>
                    <a:prstGeom prst="rect"/>
                  </pic:spPr>
                </pic:pic>
              </a:graphicData>
            </a:graphic>
          </wp:inline>
        </w:drawing>
      </w:r>
    </w:p>
    <w:p>
      <w:pPr>
        <w:spacing w:before="0"/>
        <w:jc w:val="center"/>
      </w:pPr>
      <w:r>
        <w:rPr>
          <w:i/>
          <w:color w:val="64748B"/>
          <w:sz w:val="19"/>
        </w:rPr>
        <w:t>Raise and track internal support tickets; threaded comments and status updates.</w:t>
      </w:r>
    </w:p>
    <w:p>
      <w:pPr>
        <w:spacing w:after="80"/>
      </w:pPr>
      <w:r>
        <w:rPr>
          <w:rFonts w:ascii="Calibri" w:hAnsi="Calibri"/>
          <w:b w:val="0"/>
          <w:i w:val="0"/>
          <w:color w:val="0F172A"/>
          <w:sz w:val="22"/>
        </w:rPr>
      </w:r>
    </w:p>
    <w:sectPr w:rsidR="00FC693F" w:rsidRPr="0006063C" w:rsidSect="00034616">
      <w:headerReference w:type="default" r:id="rId10"/>
      <w:footerReference w:type="default" r:id="rId11"/>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Perfect Solutions • AurborBloom HRMS  |  © 2026  |  Page </w:t>
    </w:r>
    <w:r>
      <w:rPr>
        <w:color w:val="64748B"/>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80"/>
      <w:gridCol w:w="4680"/>
    </w:tblGrid>
    <w:tr>
      <w:tc>
        <w:tcPr>
          <w:tcW w:type="dxa" w:w="4680"/>
        </w:tcPr>
        <w:p>
          <w:r>
            <w:drawing>
              <wp:inline xmlns:a="http://schemas.openxmlformats.org/drawingml/2006/main" xmlns:pic="http://schemas.openxmlformats.org/drawingml/2006/picture">
                <wp:extent cx="1005840" cy="35034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05840" cy="350349"/>
                        </a:xfrm>
                        <a:prstGeom prst="rect"/>
                      </pic:spPr>
                    </pic:pic>
                  </a:graphicData>
                </a:graphic>
              </wp:inline>
            </w:drawing>
          </w:r>
        </w:p>
      </w:tc>
      <w:tc>
        <w:tcPr>
          <w:tcW w:type="dxa" w:w="4680"/>
        </w:tcPr>
        <w:p>
          <w:pPr>
            <w:jc w:val="right"/>
          </w:pPr>
          <w:r>
            <w:rPr>
              <w:b/>
              <w:color w:val="1E3A8A"/>
              <w:sz w:val="18"/>
            </w:rPr>
            <w:t>Business Requirements Document</w:t>
            <w:br/>
            <w:t>Perfect Solutions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