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89450" w14:textId="77777777" w:rsidR="00CC7F55" w:rsidRDefault="002C5F92">
      <w:pPr>
        <w:pStyle w:val="Heading2"/>
        <w:keepNext w:val="0"/>
        <w:keepLines w:val="0"/>
        <w:spacing w:after="80"/>
        <w:rPr>
          <w:b/>
          <w:sz w:val="34"/>
          <w:szCs w:val="34"/>
        </w:rPr>
      </w:pPr>
      <w:bookmarkStart w:id="0" w:name="_l8d0rmtkkh87" w:colFirst="0" w:colLast="0"/>
      <w:bookmarkEnd w:id="0"/>
      <w:r>
        <w:rPr>
          <w:b/>
          <w:sz w:val="34"/>
          <w:szCs w:val="34"/>
        </w:rPr>
        <w:t xml:space="preserve">Q1: Model Description: </w:t>
      </w:r>
    </w:p>
    <w:p w14:paraId="5CBEA17E" w14:textId="77777777" w:rsidR="00CC7F55" w:rsidRDefault="002C5F92">
      <w:pPr>
        <w:pStyle w:val="Heading2"/>
        <w:keepNext w:val="0"/>
        <w:keepLines w:val="0"/>
        <w:spacing w:after="80"/>
        <w:rPr>
          <w:b/>
          <w:sz w:val="34"/>
          <w:szCs w:val="34"/>
        </w:rPr>
      </w:pPr>
      <w:bookmarkStart w:id="1" w:name="_7sc0bnjz3nxt" w:colFirst="0" w:colLast="0"/>
      <w:bookmarkEnd w:id="1"/>
      <w:r>
        <w:rPr>
          <w:b/>
          <w:sz w:val="34"/>
          <w:szCs w:val="34"/>
        </w:rPr>
        <w:t>“Energy Recovery Optimization Across Mine Sites”</w:t>
      </w:r>
    </w:p>
    <w:p w14:paraId="18465636" w14:textId="77777777" w:rsidR="00CC7F55" w:rsidRDefault="002C5F92">
      <w:pPr>
        <w:pStyle w:val="Heading3"/>
        <w:keepNext w:val="0"/>
        <w:keepLines w:val="0"/>
        <w:spacing w:before="280"/>
        <w:rPr>
          <w:b/>
          <w:color w:val="000000"/>
          <w:sz w:val="26"/>
          <w:szCs w:val="26"/>
        </w:rPr>
      </w:pPr>
      <w:bookmarkStart w:id="2" w:name="_yi5migvhxcu7" w:colFirst="0" w:colLast="0"/>
      <w:bookmarkEnd w:id="2"/>
      <w:r>
        <w:rPr>
          <w:b/>
          <w:color w:val="000000"/>
          <w:sz w:val="26"/>
          <w:szCs w:val="26"/>
        </w:rPr>
        <w:t>Goal</w:t>
      </w:r>
    </w:p>
    <w:p w14:paraId="5D661D9F" w14:textId="77777777" w:rsidR="00CC7F55" w:rsidRDefault="002C5F92">
      <w:pPr>
        <w:pStyle w:val="Heading2"/>
        <w:keepNext w:val="0"/>
        <w:keepLines w:val="0"/>
        <w:spacing w:before="240" w:after="240"/>
        <w:rPr>
          <w:b/>
          <w:sz w:val="24"/>
          <w:szCs w:val="24"/>
        </w:rPr>
      </w:pPr>
      <w:bookmarkStart w:id="3" w:name="_m0isg6t1dfbq" w:colFirst="0" w:colLast="0"/>
      <w:bookmarkEnd w:id="3"/>
      <w:r>
        <w:rPr>
          <w:b/>
          <w:sz w:val="24"/>
          <w:szCs w:val="24"/>
        </w:rPr>
        <w:t xml:space="preserve">Which system type (energy-recovery scenario) should be installed at each mine site to maximize total recovered energy, </w:t>
      </w:r>
      <w:proofErr w:type="gramStart"/>
      <w:r>
        <w:rPr>
          <w:b/>
          <w:sz w:val="24"/>
          <w:szCs w:val="24"/>
        </w:rPr>
        <w:t>taking into account</w:t>
      </w:r>
      <w:proofErr w:type="gramEnd"/>
      <w:r>
        <w:rPr>
          <w:b/>
          <w:sz w:val="24"/>
          <w:szCs w:val="24"/>
        </w:rPr>
        <w:t xml:space="preserve"> efficiency, environmental, and operational considerations?</w:t>
      </w:r>
    </w:p>
    <w:p w14:paraId="318B4BF5" w14:textId="77777777" w:rsidR="00CC7F55" w:rsidRDefault="002C5F92">
      <w:pPr>
        <w:pStyle w:val="Heading2"/>
        <w:keepNext w:val="0"/>
        <w:keepLines w:val="0"/>
        <w:spacing w:after="80"/>
        <w:rPr>
          <w:b/>
          <w:color w:val="000000"/>
          <w:sz w:val="26"/>
          <w:szCs w:val="26"/>
        </w:rPr>
      </w:pPr>
      <w:bookmarkStart w:id="4" w:name="_ino34als9o5" w:colFirst="0" w:colLast="0"/>
      <w:bookmarkEnd w:id="4"/>
      <w:r>
        <w:rPr>
          <w:b/>
          <w:color w:val="000000"/>
          <w:sz w:val="26"/>
          <w:szCs w:val="26"/>
        </w:rPr>
        <w:t>Indices</w:t>
      </w:r>
    </w:p>
    <w:p w14:paraId="47EDBEC2" w14:textId="77777777" w:rsidR="00CC7F55" w:rsidRDefault="002C5F92">
      <w:pPr>
        <w:numPr>
          <w:ilvl w:val="0"/>
          <w:numId w:val="2"/>
        </w:numPr>
        <w:spacing w:before="240"/>
        <w:rPr>
          <w:sz w:val="24"/>
          <w:szCs w:val="24"/>
        </w:rPr>
      </w:pPr>
      <w:r>
        <w:rPr>
          <w:sz w:val="24"/>
          <w:szCs w:val="24"/>
        </w:rPr>
        <w:t>Mine sites [</w:t>
      </w:r>
      <w:proofErr w:type="spellStart"/>
      <w:r>
        <w:rPr>
          <w:b/>
          <w:sz w:val="24"/>
          <w:szCs w:val="24"/>
        </w:rPr>
        <w:t>i</w:t>
      </w:r>
      <w:proofErr w:type="spellEnd"/>
      <w:r>
        <w:rPr>
          <w:sz w:val="24"/>
          <w:szCs w:val="24"/>
        </w:rPr>
        <w:t>]</w:t>
      </w:r>
      <w:r>
        <w:rPr>
          <w:b/>
          <w:sz w:val="24"/>
          <w:szCs w:val="24"/>
        </w:rPr>
        <w:t xml:space="preserve"> </w:t>
      </w:r>
      <w:r>
        <w:rPr>
          <w:sz w:val="24"/>
          <w:szCs w:val="24"/>
        </w:rPr>
        <w:t>(site1, site2, site3)</w:t>
      </w:r>
    </w:p>
    <w:p w14:paraId="06BC00A1" w14:textId="77777777" w:rsidR="00CC7F55" w:rsidRDefault="002C5F92">
      <w:pPr>
        <w:numPr>
          <w:ilvl w:val="0"/>
          <w:numId w:val="2"/>
        </w:numPr>
        <w:rPr>
          <w:sz w:val="24"/>
          <w:szCs w:val="24"/>
        </w:rPr>
      </w:pPr>
      <w:r>
        <w:rPr>
          <w:sz w:val="24"/>
          <w:szCs w:val="24"/>
        </w:rPr>
        <w:t>Scenarios or system types [</w:t>
      </w:r>
      <w:r>
        <w:rPr>
          <w:b/>
          <w:sz w:val="24"/>
          <w:szCs w:val="24"/>
        </w:rPr>
        <w:t>s</w:t>
      </w:r>
      <w:r>
        <w:rPr>
          <w:sz w:val="24"/>
          <w:szCs w:val="24"/>
        </w:rPr>
        <w:t>]</w:t>
      </w:r>
      <w:r>
        <w:rPr>
          <w:b/>
          <w:sz w:val="24"/>
          <w:szCs w:val="24"/>
        </w:rPr>
        <w:t xml:space="preserve"> </w:t>
      </w:r>
      <w:r>
        <w:rPr>
          <w:sz w:val="24"/>
          <w:szCs w:val="24"/>
        </w:rPr>
        <w:t>(s1, s2)</w:t>
      </w:r>
    </w:p>
    <w:p w14:paraId="7570E665" w14:textId="77777777" w:rsidR="00CC7F55" w:rsidRDefault="002C5F92">
      <w:pPr>
        <w:numPr>
          <w:ilvl w:val="0"/>
          <w:numId w:val="2"/>
        </w:numPr>
        <w:spacing w:after="240"/>
        <w:rPr>
          <w:sz w:val="24"/>
          <w:szCs w:val="24"/>
        </w:rPr>
      </w:pPr>
      <w:r>
        <w:rPr>
          <w:sz w:val="24"/>
          <w:szCs w:val="24"/>
        </w:rPr>
        <w:t>Time periods [</w:t>
      </w:r>
      <w:r>
        <w:rPr>
          <w:b/>
          <w:sz w:val="24"/>
          <w:szCs w:val="24"/>
        </w:rPr>
        <w:t>t</w:t>
      </w:r>
      <w:r>
        <w:rPr>
          <w:sz w:val="24"/>
          <w:szCs w:val="24"/>
        </w:rPr>
        <w:t>]</w:t>
      </w:r>
      <w:r>
        <w:rPr>
          <w:b/>
          <w:sz w:val="24"/>
          <w:szCs w:val="24"/>
        </w:rPr>
        <w:t xml:space="preserve"> </w:t>
      </w:r>
      <w:r>
        <w:rPr>
          <w:sz w:val="24"/>
          <w:szCs w:val="24"/>
        </w:rPr>
        <w:t>(t1–t20)</w:t>
      </w:r>
    </w:p>
    <w:p w14:paraId="07439C98" w14:textId="77777777" w:rsidR="00CC7F55" w:rsidRDefault="002C5F92">
      <w:pPr>
        <w:spacing w:before="240" w:after="240"/>
        <w:rPr>
          <w:b/>
          <w:sz w:val="24"/>
          <w:szCs w:val="24"/>
        </w:rPr>
      </w:pPr>
      <w:r>
        <w:rPr>
          <w:b/>
          <w:sz w:val="24"/>
          <w:szCs w:val="24"/>
        </w:rPr>
        <w:t>Logic:</w:t>
      </w:r>
    </w:p>
    <w:p w14:paraId="47DB15E9" w14:textId="77777777" w:rsidR="00CC7F55" w:rsidRDefault="002C5F92">
      <w:pPr>
        <w:spacing w:before="240" w:after="240"/>
        <w:rPr>
          <w:sz w:val="24"/>
          <w:szCs w:val="24"/>
        </w:rPr>
      </w:pPr>
      <w:r>
        <w:rPr>
          <w:sz w:val="24"/>
          <w:szCs w:val="24"/>
        </w:rPr>
        <w:t xml:space="preserve">I decouple </w:t>
      </w:r>
      <w:proofErr w:type="gramStart"/>
      <w:r>
        <w:rPr>
          <w:sz w:val="24"/>
          <w:szCs w:val="24"/>
        </w:rPr>
        <w:t>mine</w:t>
      </w:r>
      <w:proofErr w:type="gramEnd"/>
      <w:r>
        <w:rPr>
          <w:sz w:val="24"/>
          <w:szCs w:val="24"/>
        </w:rPr>
        <w:t xml:space="preserve"> sites, system configurations, and time periods for indexing them. This gives the model the flexibility to take into consideration several operating sites, analyze alternative system designs, and operate over time (hours, days, and months).</w:t>
      </w:r>
    </w:p>
    <w:p w14:paraId="3AE4694E" w14:textId="77777777" w:rsidR="00CC7F55" w:rsidRDefault="002C5F92">
      <w:pPr>
        <w:pStyle w:val="Heading3"/>
        <w:keepNext w:val="0"/>
        <w:keepLines w:val="0"/>
        <w:spacing w:before="280"/>
      </w:pPr>
      <w:bookmarkStart w:id="5" w:name="_cst11holyidm" w:colFirst="0" w:colLast="0"/>
      <w:bookmarkEnd w:id="5"/>
      <w:r>
        <w:rPr>
          <w:b/>
          <w:color w:val="000000"/>
          <w:sz w:val="26"/>
          <w:szCs w:val="26"/>
        </w:rPr>
        <w:t>Parameters</w:t>
      </w:r>
    </w:p>
    <w:tbl>
      <w:tblPr>
        <w:tblStyle w:val="a"/>
        <w:tblW w:w="9015"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3195"/>
        <w:gridCol w:w="5820"/>
      </w:tblGrid>
      <w:tr w:rsidR="00CC7F55" w14:paraId="0954115E" w14:textId="77777777">
        <w:trPr>
          <w:trHeight w:val="450"/>
        </w:trPr>
        <w:tc>
          <w:tcPr>
            <w:tcW w:w="319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67A8B11F" w14:textId="77777777" w:rsidR="00CC7F55" w:rsidRDefault="002C5F92">
            <w:pPr>
              <w:spacing w:line="256" w:lineRule="auto"/>
              <w:rPr>
                <w:b/>
                <w:sz w:val="24"/>
                <w:szCs w:val="24"/>
              </w:rPr>
            </w:pPr>
            <w:r>
              <w:rPr>
                <w:b/>
                <w:sz w:val="24"/>
                <w:szCs w:val="24"/>
              </w:rPr>
              <w:t>Symbol</w:t>
            </w:r>
          </w:p>
        </w:tc>
        <w:tc>
          <w:tcPr>
            <w:tcW w:w="58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4D9FDFA8" w14:textId="77777777" w:rsidR="00CC7F55" w:rsidRDefault="002C5F92">
            <w:pPr>
              <w:spacing w:line="256" w:lineRule="auto"/>
              <w:rPr>
                <w:b/>
                <w:sz w:val="24"/>
                <w:szCs w:val="24"/>
              </w:rPr>
            </w:pPr>
            <w:r>
              <w:rPr>
                <w:b/>
                <w:sz w:val="24"/>
                <w:szCs w:val="24"/>
              </w:rPr>
              <w:t>Description</w:t>
            </w:r>
          </w:p>
        </w:tc>
      </w:tr>
      <w:tr w:rsidR="00CC7F55" w14:paraId="0D23F950" w14:textId="77777777">
        <w:trPr>
          <w:trHeight w:val="480"/>
        </w:trPr>
        <w:tc>
          <w:tcPr>
            <w:tcW w:w="31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92AF4BF" w14:textId="77777777" w:rsidR="00CC7F55" w:rsidRDefault="002C5F92">
            <w:pPr>
              <w:spacing w:line="256" w:lineRule="auto"/>
              <w:rPr>
                <w:sz w:val="24"/>
                <w:szCs w:val="24"/>
              </w:rPr>
            </w:pPr>
            <w:r>
              <w:rPr>
                <w:sz w:val="24"/>
                <w:szCs w:val="24"/>
              </w:rPr>
              <w:t>H(</w:t>
            </w:r>
            <w:proofErr w:type="spellStart"/>
            <w:proofErr w:type="gramStart"/>
            <w:r>
              <w:rPr>
                <w:sz w:val="24"/>
                <w:szCs w:val="24"/>
              </w:rPr>
              <w:t>i,s</w:t>
            </w:r>
            <w:proofErr w:type="spellEnd"/>
            <w:proofErr w:type="gramEnd"/>
            <w:r>
              <w:rPr>
                <w:sz w:val="24"/>
                <w:szCs w:val="24"/>
              </w:rPr>
              <w:t>)</w:t>
            </w:r>
          </w:p>
        </w:tc>
        <w:tc>
          <w:tcPr>
            <w:tcW w:w="5820" w:type="dxa"/>
            <w:tcBorders>
              <w:top w:val="nil"/>
              <w:left w:val="nil"/>
              <w:bottom w:val="single" w:sz="7" w:space="0" w:color="000000"/>
              <w:right w:val="single" w:sz="7" w:space="0" w:color="000000"/>
            </w:tcBorders>
            <w:tcMar>
              <w:top w:w="0" w:type="dxa"/>
              <w:left w:w="100" w:type="dxa"/>
              <w:bottom w:w="0" w:type="dxa"/>
              <w:right w:w="100" w:type="dxa"/>
            </w:tcMar>
          </w:tcPr>
          <w:p w14:paraId="7FFC4D07" w14:textId="77777777" w:rsidR="00CC7F55" w:rsidRDefault="002C5F92">
            <w:pPr>
              <w:spacing w:line="256" w:lineRule="auto"/>
              <w:rPr>
                <w:sz w:val="24"/>
                <w:szCs w:val="24"/>
              </w:rPr>
            </w:pPr>
            <w:r>
              <w:rPr>
                <w:sz w:val="24"/>
                <w:szCs w:val="24"/>
              </w:rPr>
              <w:t xml:space="preserve">Tailings heat potential at site </w:t>
            </w:r>
            <w:proofErr w:type="spellStart"/>
            <w:r>
              <w:rPr>
                <w:sz w:val="24"/>
                <w:szCs w:val="24"/>
              </w:rPr>
              <w:t>i</w:t>
            </w:r>
            <w:proofErr w:type="spellEnd"/>
            <w:r>
              <w:rPr>
                <w:sz w:val="24"/>
                <w:szCs w:val="24"/>
              </w:rPr>
              <w:t xml:space="preserve"> under scenario(s)</w:t>
            </w:r>
          </w:p>
        </w:tc>
      </w:tr>
      <w:tr w:rsidR="00CC7F55" w14:paraId="3795F890" w14:textId="77777777">
        <w:trPr>
          <w:trHeight w:val="450"/>
        </w:trPr>
        <w:tc>
          <w:tcPr>
            <w:tcW w:w="31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820179A" w14:textId="77777777" w:rsidR="00CC7F55" w:rsidRDefault="002C5F92">
            <w:pPr>
              <w:spacing w:line="256" w:lineRule="auto"/>
              <w:rPr>
                <w:sz w:val="24"/>
                <w:szCs w:val="24"/>
              </w:rPr>
            </w:pPr>
            <w:r>
              <w:rPr>
                <w:sz w:val="24"/>
                <w:szCs w:val="24"/>
              </w:rPr>
              <w:t>E(s)</w:t>
            </w:r>
          </w:p>
        </w:tc>
        <w:tc>
          <w:tcPr>
            <w:tcW w:w="5820" w:type="dxa"/>
            <w:tcBorders>
              <w:top w:val="nil"/>
              <w:left w:val="nil"/>
              <w:bottom w:val="single" w:sz="7" w:space="0" w:color="000000"/>
              <w:right w:val="single" w:sz="7" w:space="0" w:color="000000"/>
            </w:tcBorders>
            <w:tcMar>
              <w:top w:w="0" w:type="dxa"/>
              <w:left w:w="100" w:type="dxa"/>
              <w:bottom w:w="0" w:type="dxa"/>
              <w:right w:w="100" w:type="dxa"/>
            </w:tcMar>
          </w:tcPr>
          <w:p w14:paraId="423648DC" w14:textId="77777777" w:rsidR="00CC7F55" w:rsidRDefault="002C5F92">
            <w:pPr>
              <w:spacing w:line="256" w:lineRule="auto"/>
              <w:rPr>
                <w:sz w:val="24"/>
                <w:szCs w:val="24"/>
              </w:rPr>
            </w:pPr>
            <w:r>
              <w:rPr>
                <w:sz w:val="24"/>
                <w:szCs w:val="24"/>
              </w:rPr>
              <w:t>Energy conversion efficiency for scenario(s)</w:t>
            </w:r>
          </w:p>
        </w:tc>
      </w:tr>
      <w:tr w:rsidR="00CC7F55" w14:paraId="622F712A" w14:textId="77777777">
        <w:trPr>
          <w:trHeight w:val="480"/>
        </w:trPr>
        <w:tc>
          <w:tcPr>
            <w:tcW w:w="31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F6D8196" w14:textId="77777777" w:rsidR="00CC7F55" w:rsidRDefault="002C5F92">
            <w:pPr>
              <w:spacing w:line="256" w:lineRule="auto"/>
              <w:rPr>
                <w:sz w:val="24"/>
                <w:szCs w:val="24"/>
              </w:rPr>
            </w:pPr>
            <w:r>
              <w:rPr>
                <w:sz w:val="24"/>
                <w:szCs w:val="24"/>
              </w:rPr>
              <w:t>Price(t)</w:t>
            </w:r>
          </w:p>
        </w:tc>
        <w:tc>
          <w:tcPr>
            <w:tcW w:w="5820" w:type="dxa"/>
            <w:tcBorders>
              <w:top w:val="nil"/>
              <w:left w:val="nil"/>
              <w:bottom w:val="single" w:sz="7" w:space="0" w:color="000000"/>
              <w:right w:val="single" w:sz="7" w:space="0" w:color="000000"/>
            </w:tcBorders>
            <w:tcMar>
              <w:top w:w="0" w:type="dxa"/>
              <w:left w:w="100" w:type="dxa"/>
              <w:bottom w:w="0" w:type="dxa"/>
              <w:right w:w="100" w:type="dxa"/>
            </w:tcMar>
          </w:tcPr>
          <w:p w14:paraId="7710FFBA" w14:textId="77777777" w:rsidR="00CC7F55" w:rsidRDefault="002C5F92">
            <w:pPr>
              <w:spacing w:line="256" w:lineRule="auto"/>
              <w:rPr>
                <w:sz w:val="24"/>
                <w:szCs w:val="24"/>
              </w:rPr>
            </w:pPr>
            <w:r>
              <w:rPr>
                <w:sz w:val="24"/>
                <w:szCs w:val="24"/>
              </w:rPr>
              <w:t>Electricity price at time(t)</w:t>
            </w:r>
          </w:p>
        </w:tc>
      </w:tr>
      <w:tr w:rsidR="00CC7F55" w14:paraId="6969D9D1" w14:textId="77777777">
        <w:trPr>
          <w:trHeight w:val="450"/>
        </w:trPr>
        <w:tc>
          <w:tcPr>
            <w:tcW w:w="31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11535FE" w14:textId="77777777" w:rsidR="00CC7F55" w:rsidRDefault="002C5F92">
            <w:pPr>
              <w:spacing w:line="256" w:lineRule="auto"/>
              <w:rPr>
                <w:sz w:val="24"/>
                <w:szCs w:val="24"/>
              </w:rPr>
            </w:pPr>
            <w:proofErr w:type="spellStart"/>
            <w:r>
              <w:rPr>
                <w:sz w:val="24"/>
                <w:szCs w:val="24"/>
              </w:rPr>
              <w:t>WaterUse</w:t>
            </w:r>
            <w:proofErr w:type="spellEnd"/>
            <w:r>
              <w:rPr>
                <w:sz w:val="24"/>
                <w:szCs w:val="24"/>
              </w:rPr>
              <w:t>(</w:t>
            </w:r>
            <w:proofErr w:type="spellStart"/>
            <w:proofErr w:type="gramStart"/>
            <w:r>
              <w:rPr>
                <w:sz w:val="24"/>
                <w:szCs w:val="24"/>
              </w:rPr>
              <w:t>i,s</w:t>
            </w:r>
            <w:proofErr w:type="spellEnd"/>
            <w:proofErr w:type="gramEnd"/>
            <w:r>
              <w:rPr>
                <w:sz w:val="24"/>
                <w:szCs w:val="24"/>
              </w:rPr>
              <w:t>)</w:t>
            </w:r>
          </w:p>
        </w:tc>
        <w:tc>
          <w:tcPr>
            <w:tcW w:w="5820" w:type="dxa"/>
            <w:tcBorders>
              <w:top w:val="nil"/>
              <w:left w:val="nil"/>
              <w:bottom w:val="single" w:sz="7" w:space="0" w:color="000000"/>
              <w:right w:val="single" w:sz="7" w:space="0" w:color="000000"/>
            </w:tcBorders>
            <w:tcMar>
              <w:top w:w="0" w:type="dxa"/>
              <w:left w:w="100" w:type="dxa"/>
              <w:bottom w:w="0" w:type="dxa"/>
              <w:right w:w="100" w:type="dxa"/>
            </w:tcMar>
          </w:tcPr>
          <w:p w14:paraId="35C53408" w14:textId="77777777" w:rsidR="00CC7F55" w:rsidRDefault="002C5F92">
            <w:pPr>
              <w:spacing w:line="256" w:lineRule="auto"/>
              <w:rPr>
                <w:sz w:val="24"/>
                <w:szCs w:val="24"/>
              </w:rPr>
            </w:pPr>
            <w:r>
              <w:rPr>
                <w:sz w:val="24"/>
                <w:szCs w:val="24"/>
              </w:rPr>
              <w:t>Water is used if scenario(s) are selected at site (</w:t>
            </w:r>
            <w:proofErr w:type="spellStart"/>
            <w:r>
              <w:rPr>
                <w:sz w:val="24"/>
                <w:szCs w:val="24"/>
              </w:rPr>
              <w:t>i</w:t>
            </w:r>
            <w:proofErr w:type="spellEnd"/>
            <w:r>
              <w:rPr>
                <w:sz w:val="24"/>
                <w:szCs w:val="24"/>
              </w:rPr>
              <w:t>)</w:t>
            </w:r>
          </w:p>
        </w:tc>
      </w:tr>
      <w:tr w:rsidR="00CC7F55" w14:paraId="19894949" w14:textId="77777777">
        <w:trPr>
          <w:trHeight w:val="450"/>
        </w:trPr>
        <w:tc>
          <w:tcPr>
            <w:tcW w:w="31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CD608A2" w14:textId="77777777" w:rsidR="00CC7F55" w:rsidRDefault="002C5F92">
            <w:pPr>
              <w:spacing w:line="256" w:lineRule="auto"/>
              <w:rPr>
                <w:sz w:val="24"/>
                <w:szCs w:val="24"/>
              </w:rPr>
            </w:pPr>
            <w:proofErr w:type="spellStart"/>
            <w:r>
              <w:rPr>
                <w:sz w:val="24"/>
                <w:szCs w:val="24"/>
              </w:rPr>
              <w:t>WaterLimit</w:t>
            </w:r>
            <w:proofErr w:type="spellEnd"/>
            <w:r>
              <w:rPr>
                <w:sz w:val="24"/>
                <w:szCs w:val="24"/>
              </w:rPr>
              <w:t>(</w:t>
            </w:r>
            <w:proofErr w:type="spellStart"/>
            <w:r>
              <w:rPr>
                <w:sz w:val="24"/>
                <w:szCs w:val="24"/>
              </w:rPr>
              <w:t>i</w:t>
            </w:r>
            <w:proofErr w:type="spellEnd"/>
            <w:r>
              <w:rPr>
                <w:sz w:val="24"/>
                <w:szCs w:val="24"/>
              </w:rPr>
              <w:t>)</w:t>
            </w:r>
          </w:p>
        </w:tc>
        <w:tc>
          <w:tcPr>
            <w:tcW w:w="5820" w:type="dxa"/>
            <w:tcBorders>
              <w:top w:val="nil"/>
              <w:left w:val="nil"/>
              <w:bottom w:val="single" w:sz="7" w:space="0" w:color="000000"/>
              <w:right w:val="single" w:sz="7" w:space="0" w:color="000000"/>
            </w:tcBorders>
            <w:tcMar>
              <w:top w:w="0" w:type="dxa"/>
              <w:left w:w="100" w:type="dxa"/>
              <w:bottom w:w="0" w:type="dxa"/>
              <w:right w:w="100" w:type="dxa"/>
            </w:tcMar>
          </w:tcPr>
          <w:p w14:paraId="5A16034B" w14:textId="77777777" w:rsidR="00CC7F55" w:rsidRDefault="002C5F92">
            <w:pPr>
              <w:spacing w:line="256" w:lineRule="auto"/>
              <w:rPr>
                <w:sz w:val="24"/>
                <w:szCs w:val="24"/>
              </w:rPr>
            </w:pPr>
            <w:r>
              <w:rPr>
                <w:sz w:val="24"/>
                <w:szCs w:val="24"/>
              </w:rPr>
              <w:t xml:space="preserve">Maximum allowable water </w:t>
            </w:r>
            <w:proofErr w:type="gramStart"/>
            <w:r>
              <w:rPr>
                <w:sz w:val="24"/>
                <w:szCs w:val="24"/>
              </w:rPr>
              <w:t>use</w:t>
            </w:r>
            <w:proofErr w:type="gramEnd"/>
            <w:r>
              <w:rPr>
                <w:sz w:val="24"/>
                <w:szCs w:val="24"/>
              </w:rPr>
              <w:t xml:space="preserve"> at each site (</w:t>
            </w:r>
            <w:proofErr w:type="spellStart"/>
            <w:r>
              <w:rPr>
                <w:sz w:val="24"/>
                <w:szCs w:val="24"/>
              </w:rPr>
              <w:t>i</w:t>
            </w:r>
            <w:proofErr w:type="spellEnd"/>
            <w:r>
              <w:rPr>
                <w:sz w:val="24"/>
                <w:szCs w:val="24"/>
              </w:rPr>
              <w:t>)</w:t>
            </w:r>
          </w:p>
        </w:tc>
      </w:tr>
    </w:tbl>
    <w:p w14:paraId="42CD44B8" w14:textId="77777777" w:rsidR="00CC7F55" w:rsidRDefault="002C5F92">
      <w:pPr>
        <w:spacing w:line="256" w:lineRule="auto"/>
        <w:rPr>
          <w:b/>
          <w:sz w:val="13"/>
          <w:szCs w:val="13"/>
        </w:rPr>
      </w:pPr>
      <w:r>
        <w:rPr>
          <w:b/>
          <w:sz w:val="13"/>
          <w:szCs w:val="13"/>
        </w:rPr>
        <w:t>Logic:</w:t>
      </w:r>
    </w:p>
    <w:p w14:paraId="57D22075" w14:textId="77777777" w:rsidR="00CC7F55" w:rsidRDefault="002C5F92">
      <w:pPr>
        <w:numPr>
          <w:ilvl w:val="0"/>
          <w:numId w:val="4"/>
        </w:numPr>
        <w:spacing w:line="256" w:lineRule="auto"/>
        <w:ind w:left="740"/>
      </w:pPr>
      <w:r>
        <w:rPr>
          <w:b/>
          <w:noProof/>
          <w:sz w:val="13"/>
          <w:szCs w:val="13"/>
        </w:rPr>
        <w:drawing>
          <wp:inline distT="114300" distB="114300" distL="114300" distR="114300" wp14:anchorId="7039BC10" wp14:editId="71F09F21">
            <wp:extent cx="228600" cy="101600"/>
            <wp:effectExtent l="0" t="0" r="0" b="0"/>
            <wp:docPr id="2"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7"/>
                    <a:srcRect/>
                    <a:stretch>
                      <a:fillRect/>
                    </a:stretch>
                  </pic:blipFill>
                  <pic:spPr>
                    <a:xfrm>
                      <a:off x="0" y="0"/>
                      <a:ext cx="228600" cy="101600"/>
                    </a:xfrm>
                    <a:prstGeom prst="rect">
                      <a:avLst/>
                    </a:prstGeom>
                    <a:ln/>
                  </pic:spPr>
                </pic:pic>
              </a:graphicData>
            </a:graphic>
          </wp:inline>
        </w:drawing>
      </w:r>
      <w:r>
        <w:rPr>
          <w:sz w:val="13"/>
          <w:szCs w:val="13"/>
        </w:rPr>
        <w:t xml:space="preserve">captures the available thermal heat </w:t>
      </w:r>
      <w:proofErr w:type="gramStart"/>
      <w:r>
        <w:rPr>
          <w:sz w:val="13"/>
          <w:szCs w:val="13"/>
        </w:rPr>
        <w:t>generated..</w:t>
      </w:r>
      <w:proofErr w:type="gramEnd"/>
    </w:p>
    <w:p w14:paraId="33340BA3" w14:textId="77777777" w:rsidR="00CC7F55" w:rsidRDefault="002C5F92">
      <w:pPr>
        <w:numPr>
          <w:ilvl w:val="0"/>
          <w:numId w:val="4"/>
        </w:numPr>
        <w:spacing w:line="256" w:lineRule="auto"/>
        <w:ind w:left="740"/>
      </w:pPr>
      <w:r>
        <w:rPr>
          <w:noProof/>
          <w:sz w:val="13"/>
          <w:szCs w:val="13"/>
        </w:rPr>
        <w:drawing>
          <wp:inline distT="114300" distB="114300" distL="114300" distR="114300" wp14:anchorId="3715B5CA" wp14:editId="56EBE983">
            <wp:extent cx="165100" cy="101600"/>
            <wp:effectExtent l="0" t="0" r="0" b="0"/>
            <wp:docPr id="14" name="image3.gif"/>
            <wp:cNvGraphicFramePr/>
            <a:graphic xmlns:a="http://schemas.openxmlformats.org/drawingml/2006/main">
              <a:graphicData uri="http://schemas.openxmlformats.org/drawingml/2006/picture">
                <pic:pic xmlns:pic="http://schemas.openxmlformats.org/drawingml/2006/picture">
                  <pic:nvPicPr>
                    <pic:cNvPr id="0" name="image3.gif"/>
                    <pic:cNvPicPr preferRelativeResize="0"/>
                  </pic:nvPicPr>
                  <pic:blipFill>
                    <a:blip r:embed="rId8"/>
                    <a:srcRect/>
                    <a:stretch>
                      <a:fillRect/>
                    </a:stretch>
                  </pic:blipFill>
                  <pic:spPr>
                    <a:xfrm>
                      <a:off x="0" y="0"/>
                      <a:ext cx="165100" cy="101600"/>
                    </a:xfrm>
                    <a:prstGeom prst="rect">
                      <a:avLst/>
                    </a:prstGeom>
                    <a:ln/>
                  </pic:spPr>
                </pic:pic>
              </a:graphicData>
            </a:graphic>
          </wp:inline>
        </w:drawing>
      </w:r>
      <w:r>
        <w:rPr>
          <w:sz w:val="13"/>
          <w:szCs w:val="13"/>
        </w:rPr>
        <w:t>converts heat into energy.</w:t>
      </w:r>
    </w:p>
    <w:p w14:paraId="6EAF2B9A" w14:textId="77777777" w:rsidR="00CC7F55" w:rsidRDefault="002C5F92">
      <w:pPr>
        <w:numPr>
          <w:ilvl w:val="0"/>
          <w:numId w:val="4"/>
        </w:numPr>
        <w:spacing w:line="256" w:lineRule="auto"/>
        <w:ind w:left="740"/>
      </w:pPr>
      <w:r>
        <w:rPr>
          <w:noProof/>
          <w:sz w:val="13"/>
          <w:szCs w:val="13"/>
        </w:rPr>
        <w:drawing>
          <wp:inline distT="114300" distB="114300" distL="114300" distR="114300" wp14:anchorId="336A2C58" wp14:editId="0B33F913">
            <wp:extent cx="292100" cy="101600"/>
            <wp:effectExtent l="0" t="0" r="0" b="0"/>
            <wp:docPr id="6" name="image4.gif"/>
            <wp:cNvGraphicFramePr/>
            <a:graphic xmlns:a="http://schemas.openxmlformats.org/drawingml/2006/main">
              <a:graphicData uri="http://schemas.openxmlformats.org/drawingml/2006/picture">
                <pic:pic xmlns:pic="http://schemas.openxmlformats.org/drawingml/2006/picture">
                  <pic:nvPicPr>
                    <pic:cNvPr id="0" name="image4.gif"/>
                    <pic:cNvPicPr preferRelativeResize="0"/>
                  </pic:nvPicPr>
                  <pic:blipFill>
                    <a:blip r:embed="rId9"/>
                    <a:srcRect/>
                    <a:stretch>
                      <a:fillRect/>
                    </a:stretch>
                  </pic:blipFill>
                  <pic:spPr>
                    <a:xfrm>
                      <a:off x="0" y="0"/>
                      <a:ext cx="292100" cy="101600"/>
                    </a:xfrm>
                    <a:prstGeom prst="rect">
                      <a:avLst/>
                    </a:prstGeom>
                    <a:ln/>
                  </pic:spPr>
                </pic:pic>
              </a:graphicData>
            </a:graphic>
          </wp:inline>
        </w:drawing>
      </w:r>
      <w:r>
        <w:rPr>
          <w:sz w:val="13"/>
          <w:szCs w:val="13"/>
        </w:rPr>
        <w:t>gives revenue context if later choose to maximize profit.</w:t>
      </w:r>
    </w:p>
    <w:p w14:paraId="5128A669" w14:textId="77777777" w:rsidR="00CC7F55" w:rsidRDefault="002C5F92">
      <w:pPr>
        <w:numPr>
          <w:ilvl w:val="0"/>
          <w:numId w:val="4"/>
        </w:numPr>
        <w:spacing w:after="240" w:line="256" w:lineRule="auto"/>
        <w:ind w:left="740"/>
      </w:pPr>
      <w:r>
        <w:rPr>
          <w:noProof/>
          <w:sz w:val="13"/>
          <w:szCs w:val="13"/>
        </w:rPr>
        <w:drawing>
          <wp:inline distT="114300" distB="114300" distL="114300" distR="114300" wp14:anchorId="63E6FDDB" wp14:editId="2FA59DFD">
            <wp:extent cx="546100" cy="101600"/>
            <wp:effectExtent l="0" t="0" r="0" b="0"/>
            <wp:docPr id="12" name="image15.gif"/>
            <wp:cNvGraphicFramePr/>
            <a:graphic xmlns:a="http://schemas.openxmlformats.org/drawingml/2006/main">
              <a:graphicData uri="http://schemas.openxmlformats.org/drawingml/2006/picture">
                <pic:pic xmlns:pic="http://schemas.openxmlformats.org/drawingml/2006/picture">
                  <pic:nvPicPr>
                    <pic:cNvPr id="0" name="image15.gif"/>
                    <pic:cNvPicPr preferRelativeResize="0"/>
                  </pic:nvPicPr>
                  <pic:blipFill>
                    <a:blip r:embed="rId10"/>
                    <a:srcRect/>
                    <a:stretch>
                      <a:fillRect/>
                    </a:stretch>
                  </pic:blipFill>
                  <pic:spPr>
                    <a:xfrm>
                      <a:off x="0" y="0"/>
                      <a:ext cx="546100" cy="101600"/>
                    </a:xfrm>
                    <a:prstGeom prst="rect">
                      <a:avLst/>
                    </a:prstGeom>
                    <a:ln/>
                  </pic:spPr>
                </pic:pic>
              </a:graphicData>
            </a:graphic>
          </wp:inline>
        </w:drawing>
      </w:r>
      <w:r>
        <w:rPr>
          <w:sz w:val="13"/>
          <w:szCs w:val="13"/>
        </w:rPr>
        <w:t>and</w:t>
      </w:r>
      <w:r>
        <w:rPr>
          <w:noProof/>
          <w:sz w:val="13"/>
          <w:szCs w:val="13"/>
        </w:rPr>
        <w:drawing>
          <wp:inline distT="114300" distB="114300" distL="114300" distR="114300" wp14:anchorId="7FAACE2B" wp14:editId="56B450F7">
            <wp:extent cx="533400" cy="101600"/>
            <wp:effectExtent l="0" t="0" r="0" b="0"/>
            <wp:docPr id="15" name="image2.gif"/>
            <wp:cNvGraphicFramePr/>
            <a:graphic xmlns:a="http://schemas.openxmlformats.org/drawingml/2006/main">
              <a:graphicData uri="http://schemas.openxmlformats.org/drawingml/2006/picture">
                <pic:pic xmlns:pic="http://schemas.openxmlformats.org/drawingml/2006/picture">
                  <pic:nvPicPr>
                    <pic:cNvPr id="0" name="image2.gif"/>
                    <pic:cNvPicPr preferRelativeResize="0"/>
                  </pic:nvPicPr>
                  <pic:blipFill>
                    <a:blip r:embed="rId11"/>
                    <a:srcRect/>
                    <a:stretch>
                      <a:fillRect/>
                    </a:stretch>
                  </pic:blipFill>
                  <pic:spPr>
                    <a:xfrm>
                      <a:off x="0" y="0"/>
                      <a:ext cx="533400" cy="101600"/>
                    </a:xfrm>
                    <a:prstGeom prst="rect">
                      <a:avLst/>
                    </a:prstGeom>
                    <a:ln/>
                  </pic:spPr>
                </pic:pic>
              </a:graphicData>
            </a:graphic>
          </wp:inline>
        </w:drawing>
      </w:r>
      <w:r>
        <w:rPr>
          <w:sz w:val="13"/>
          <w:szCs w:val="13"/>
        </w:rPr>
        <w:t xml:space="preserve">enforce an </w:t>
      </w:r>
      <w:r>
        <w:rPr>
          <w:b/>
          <w:sz w:val="13"/>
          <w:szCs w:val="13"/>
        </w:rPr>
        <w:t>environmental constraint</w:t>
      </w:r>
      <w:r>
        <w:rPr>
          <w:sz w:val="13"/>
          <w:szCs w:val="13"/>
        </w:rPr>
        <w:t>, ensuring sustainable operation.</w:t>
      </w:r>
    </w:p>
    <w:p w14:paraId="1F84E08A" w14:textId="77777777" w:rsidR="00CC7F55" w:rsidRDefault="002C5F92">
      <w:pPr>
        <w:pStyle w:val="Heading3"/>
        <w:keepNext w:val="0"/>
        <w:keepLines w:val="0"/>
        <w:spacing w:before="280"/>
        <w:rPr>
          <w:b/>
          <w:color w:val="000000"/>
          <w:sz w:val="26"/>
          <w:szCs w:val="26"/>
        </w:rPr>
      </w:pPr>
      <w:bookmarkStart w:id="6" w:name="_y0634uz2qrac" w:colFirst="0" w:colLast="0"/>
      <w:bookmarkEnd w:id="6"/>
      <w:r>
        <w:rPr>
          <w:b/>
          <w:color w:val="000000"/>
          <w:sz w:val="26"/>
          <w:szCs w:val="26"/>
        </w:rPr>
        <w:t>Decision Variables</w:t>
      </w:r>
    </w:p>
    <w:p w14:paraId="47A6D22B" w14:textId="77777777" w:rsidR="00CC7F55" w:rsidRDefault="00CC7F55">
      <w:pPr>
        <w:spacing w:before="240" w:after="240"/>
        <w:ind w:left="720"/>
        <w:rPr>
          <w:b/>
          <w:sz w:val="24"/>
          <w:szCs w:val="24"/>
        </w:rPr>
      </w:pPr>
    </w:p>
    <w:tbl>
      <w:tblPr>
        <w:tblStyle w:val="a0"/>
        <w:tblpPr w:leftFromText="180" w:rightFromText="180" w:topFromText="180" w:bottomFromText="180" w:vertAnchor="text" w:tblpX="7380"/>
        <w:tblW w:w="25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20"/>
      </w:tblGrid>
      <w:tr w:rsidR="00CC7F55" w14:paraId="66E02631" w14:textId="77777777">
        <w:trPr>
          <w:trHeight w:val="150"/>
        </w:trPr>
        <w:tc>
          <w:tcPr>
            <w:tcW w:w="2520" w:type="dxa"/>
            <w:tcBorders>
              <w:top w:val="single" w:sz="7" w:space="0" w:color="000000"/>
              <w:left w:val="single" w:sz="7" w:space="0" w:color="000000"/>
              <w:bottom w:val="single" w:sz="7" w:space="0" w:color="000000"/>
              <w:right w:val="single" w:sz="7" w:space="0" w:color="000000"/>
            </w:tcBorders>
            <w:tcMar>
              <w:top w:w="0" w:type="dxa"/>
              <w:bottom w:w="0" w:type="dxa"/>
            </w:tcMar>
          </w:tcPr>
          <w:p w14:paraId="65D992C3" w14:textId="77777777" w:rsidR="00CC7F55" w:rsidRDefault="002C5F92">
            <w:pPr>
              <w:spacing w:line="256" w:lineRule="auto"/>
              <w:ind w:left="140" w:right="140"/>
              <w:rPr>
                <w:b/>
                <w:sz w:val="24"/>
                <w:szCs w:val="24"/>
              </w:rPr>
            </w:pPr>
            <w:r>
              <w:rPr>
                <w:b/>
                <w:sz w:val="24"/>
                <w:szCs w:val="24"/>
              </w:rPr>
              <w:lastRenderedPageBreak/>
              <w:t>Variable</w:t>
            </w:r>
          </w:p>
        </w:tc>
      </w:tr>
      <w:tr w:rsidR="00CC7F55" w14:paraId="11B80F9C" w14:textId="77777777">
        <w:trPr>
          <w:trHeight w:val="180"/>
        </w:trPr>
        <w:tc>
          <w:tcPr>
            <w:tcW w:w="2520" w:type="dxa"/>
            <w:tcBorders>
              <w:top w:val="single" w:sz="7" w:space="0" w:color="000000"/>
              <w:left w:val="single" w:sz="7" w:space="0" w:color="000000"/>
              <w:bottom w:val="single" w:sz="7" w:space="0" w:color="000000"/>
              <w:right w:val="single" w:sz="7" w:space="0" w:color="000000"/>
            </w:tcBorders>
            <w:tcMar>
              <w:top w:w="0" w:type="dxa"/>
              <w:bottom w:w="0" w:type="dxa"/>
            </w:tcMar>
          </w:tcPr>
          <w:p w14:paraId="40262075" w14:textId="77777777" w:rsidR="00CC7F55" w:rsidRDefault="002C5F92">
            <w:pPr>
              <w:spacing w:line="256" w:lineRule="auto"/>
              <w:ind w:left="140" w:right="140"/>
              <w:rPr>
                <w:b/>
                <w:sz w:val="24"/>
                <w:szCs w:val="24"/>
              </w:rPr>
            </w:pPr>
            <w:r>
              <w:rPr>
                <w:b/>
                <w:noProof/>
                <w:sz w:val="24"/>
                <w:szCs w:val="24"/>
              </w:rPr>
              <w:drawing>
                <wp:inline distT="114300" distB="114300" distL="114300" distR="114300" wp14:anchorId="5E92EB9F" wp14:editId="45660F13">
                  <wp:extent cx="215900" cy="101600"/>
                  <wp:effectExtent l="0" t="0" r="0" b="0"/>
                  <wp:docPr id="5" name="image17.gif"/>
                  <wp:cNvGraphicFramePr/>
                  <a:graphic xmlns:a="http://schemas.openxmlformats.org/drawingml/2006/main">
                    <a:graphicData uri="http://schemas.openxmlformats.org/drawingml/2006/picture">
                      <pic:pic xmlns:pic="http://schemas.openxmlformats.org/drawingml/2006/picture">
                        <pic:nvPicPr>
                          <pic:cNvPr id="0" name="image17.gif"/>
                          <pic:cNvPicPr preferRelativeResize="0"/>
                        </pic:nvPicPr>
                        <pic:blipFill>
                          <a:blip r:embed="rId12"/>
                          <a:srcRect/>
                          <a:stretch>
                            <a:fillRect/>
                          </a:stretch>
                        </pic:blipFill>
                        <pic:spPr>
                          <a:xfrm>
                            <a:off x="0" y="0"/>
                            <a:ext cx="215900" cy="101600"/>
                          </a:xfrm>
                          <a:prstGeom prst="rect">
                            <a:avLst/>
                          </a:prstGeom>
                          <a:ln/>
                        </pic:spPr>
                      </pic:pic>
                    </a:graphicData>
                  </a:graphic>
                </wp:inline>
              </w:drawing>
            </w:r>
          </w:p>
        </w:tc>
      </w:tr>
      <w:tr w:rsidR="00CC7F55" w14:paraId="4F60929D" w14:textId="77777777">
        <w:trPr>
          <w:trHeight w:val="180"/>
        </w:trPr>
        <w:tc>
          <w:tcPr>
            <w:tcW w:w="2520" w:type="dxa"/>
            <w:tcBorders>
              <w:top w:val="single" w:sz="7" w:space="0" w:color="000000"/>
              <w:left w:val="single" w:sz="7" w:space="0" w:color="000000"/>
              <w:bottom w:val="single" w:sz="7" w:space="0" w:color="000000"/>
              <w:right w:val="single" w:sz="7" w:space="0" w:color="000000"/>
            </w:tcBorders>
            <w:tcMar>
              <w:top w:w="0" w:type="dxa"/>
              <w:bottom w:w="0" w:type="dxa"/>
            </w:tcMar>
          </w:tcPr>
          <w:p w14:paraId="5D3B84C0" w14:textId="77777777" w:rsidR="00CC7F55" w:rsidRDefault="002C5F92">
            <w:pPr>
              <w:spacing w:line="256" w:lineRule="auto"/>
              <w:ind w:left="140" w:right="140"/>
              <w:rPr>
                <w:b/>
                <w:sz w:val="24"/>
                <w:szCs w:val="24"/>
              </w:rPr>
            </w:pPr>
            <w:r>
              <w:rPr>
                <w:b/>
                <w:noProof/>
                <w:sz w:val="24"/>
                <w:szCs w:val="24"/>
              </w:rPr>
              <w:drawing>
                <wp:inline distT="114300" distB="114300" distL="114300" distR="114300" wp14:anchorId="775D1D59" wp14:editId="4A3BCA2E">
                  <wp:extent cx="292100" cy="101600"/>
                  <wp:effectExtent l="0" t="0" r="0" b="0"/>
                  <wp:docPr id="3" name="image6.gif"/>
                  <wp:cNvGraphicFramePr/>
                  <a:graphic xmlns:a="http://schemas.openxmlformats.org/drawingml/2006/main">
                    <a:graphicData uri="http://schemas.openxmlformats.org/drawingml/2006/picture">
                      <pic:pic xmlns:pic="http://schemas.openxmlformats.org/drawingml/2006/picture">
                        <pic:nvPicPr>
                          <pic:cNvPr id="0" name="image6.gif"/>
                          <pic:cNvPicPr preferRelativeResize="0"/>
                        </pic:nvPicPr>
                        <pic:blipFill>
                          <a:blip r:embed="rId13"/>
                          <a:srcRect/>
                          <a:stretch>
                            <a:fillRect/>
                          </a:stretch>
                        </pic:blipFill>
                        <pic:spPr>
                          <a:xfrm>
                            <a:off x="0" y="0"/>
                            <a:ext cx="292100" cy="101600"/>
                          </a:xfrm>
                          <a:prstGeom prst="rect">
                            <a:avLst/>
                          </a:prstGeom>
                          <a:ln/>
                        </pic:spPr>
                      </pic:pic>
                    </a:graphicData>
                  </a:graphic>
                </wp:inline>
              </w:drawing>
            </w:r>
          </w:p>
        </w:tc>
      </w:tr>
      <w:tr w:rsidR="00CC7F55" w14:paraId="6CB488DA" w14:textId="77777777">
        <w:trPr>
          <w:trHeight w:val="180"/>
        </w:trPr>
        <w:tc>
          <w:tcPr>
            <w:tcW w:w="2520" w:type="dxa"/>
            <w:tcBorders>
              <w:top w:val="single" w:sz="7" w:space="0" w:color="000000"/>
              <w:left w:val="single" w:sz="7" w:space="0" w:color="000000"/>
              <w:bottom w:val="single" w:sz="7" w:space="0" w:color="000000"/>
              <w:right w:val="single" w:sz="7" w:space="0" w:color="000000"/>
            </w:tcBorders>
            <w:tcMar>
              <w:top w:w="0" w:type="dxa"/>
              <w:bottom w:w="0" w:type="dxa"/>
            </w:tcMar>
          </w:tcPr>
          <w:p w14:paraId="46E57B35" w14:textId="77777777" w:rsidR="00CC7F55" w:rsidRDefault="002C5F92">
            <w:pPr>
              <w:spacing w:line="256" w:lineRule="auto"/>
              <w:ind w:left="140" w:right="140"/>
              <w:rPr>
                <w:b/>
                <w:sz w:val="24"/>
                <w:szCs w:val="24"/>
              </w:rPr>
            </w:pPr>
            <w:r>
              <w:rPr>
                <w:b/>
                <w:noProof/>
                <w:sz w:val="24"/>
                <w:szCs w:val="24"/>
              </w:rPr>
              <w:drawing>
                <wp:inline distT="114300" distB="114300" distL="114300" distR="114300" wp14:anchorId="72C82172" wp14:editId="02B81159">
                  <wp:extent cx="368300" cy="101600"/>
                  <wp:effectExtent l="0" t="0" r="0" b="0"/>
                  <wp:docPr id="11" name="image11.gif"/>
                  <wp:cNvGraphicFramePr/>
                  <a:graphic xmlns:a="http://schemas.openxmlformats.org/drawingml/2006/main">
                    <a:graphicData uri="http://schemas.openxmlformats.org/drawingml/2006/picture">
                      <pic:pic xmlns:pic="http://schemas.openxmlformats.org/drawingml/2006/picture">
                        <pic:nvPicPr>
                          <pic:cNvPr id="0" name="image11.gif"/>
                          <pic:cNvPicPr preferRelativeResize="0"/>
                        </pic:nvPicPr>
                        <pic:blipFill>
                          <a:blip r:embed="rId14"/>
                          <a:srcRect/>
                          <a:stretch>
                            <a:fillRect/>
                          </a:stretch>
                        </pic:blipFill>
                        <pic:spPr>
                          <a:xfrm>
                            <a:off x="0" y="0"/>
                            <a:ext cx="368300" cy="101600"/>
                          </a:xfrm>
                          <a:prstGeom prst="rect">
                            <a:avLst/>
                          </a:prstGeom>
                          <a:ln/>
                        </pic:spPr>
                      </pic:pic>
                    </a:graphicData>
                  </a:graphic>
                </wp:inline>
              </w:drawing>
            </w:r>
          </w:p>
        </w:tc>
      </w:tr>
      <w:tr w:rsidR="00CC7F55" w14:paraId="59C39E40" w14:textId="77777777">
        <w:trPr>
          <w:trHeight w:val="180"/>
        </w:trPr>
        <w:tc>
          <w:tcPr>
            <w:tcW w:w="2520" w:type="dxa"/>
            <w:tcBorders>
              <w:top w:val="single" w:sz="7" w:space="0" w:color="000000"/>
              <w:left w:val="single" w:sz="7" w:space="0" w:color="000000"/>
              <w:bottom w:val="single" w:sz="7" w:space="0" w:color="000000"/>
              <w:right w:val="single" w:sz="7" w:space="0" w:color="000000"/>
            </w:tcBorders>
            <w:tcMar>
              <w:top w:w="0" w:type="dxa"/>
              <w:bottom w:w="0" w:type="dxa"/>
            </w:tcMar>
          </w:tcPr>
          <w:p w14:paraId="64F302E9" w14:textId="77777777" w:rsidR="00CC7F55" w:rsidRDefault="002C5F92">
            <w:pPr>
              <w:spacing w:line="256" w:lineRule="auto"/>
              <w:ind w:left="140" w:right="140"/>
              <w:rPr>
                <w:b/>
                <w:sz w:val="24"/>
                <w:szCs w:val="24"/>
              </w:rPr>
            </w:pPr>
            <w:r>
              <w:rPr>
                <w:b/>
                <w:noProof/>
                <w:sz w:val="24"/>
                <w:szCs w:val="24"/>
              </w:rPr>
              <w:drawing>
                <wp:inline distT="114300" distB="114300" distL="114300" distR="114300" wp14:anchorId="6A7E2B6B" wp14:editId="05548889">
                  <wp:extent cx="495300" cy="101600"/>
                  <wp:effectExtent l="0" t="0" r="0" b="0"/>
                  <wp:docPr id="16" name="image9.gif"/>
                  <wp:cNvGraphicFramePr/>
                  <a:graphic xmlns:a="http://schemas.openxmlformats.org/drawingml/2006/main">
                    <a:graphicData uri="http://schemas.openxmlformats.org/drawingml/2006/picture">
                      <pic:pic xmlns:pic="http://schemas.openxmlformats.org/drawingml/2006/picture">
                        <pic:nvPicPr>
                          <pic:cNvPr id="0" name="image9.gif"/>
                          <pic:cNvPicPr preferRelativeResize="0"/>
                        </pic:nvPicPr>
                        <pic:blipFill>
                          <a:blip r:embed="rId15"/>
                          <a:srcRect/>
                          <a:stretch>
                            <a:fillRect/>
                          </a:stretch>
                        </pic:blipFill>
                        <pic:spPr>
                          <a:xfrm>
                            <a:off x="0" y="0"/>
                            <a:ext cx="495300" cy="101600"/>
                          </a:xfrm>
                          <a:prstGeom prst="rect">
                            <a:avLst/>
                          </a:prstGeom>
                          <a:ln/>
                        </pic:spPr>
                      </pic:pic>
                    </a:graphicData>
                  </a:graphic>
                </wp:inline>
              </w:drawing>
            </w:r>
          </w:p>
        </w:tc>
      </w:tr>
      <w:tr w:rsidR="00CC7F55" w14:paraId="13D7C9E1" w14:textId="77777777">
        <w:trPr>
          <w:trHeight w:val="180"/>
        </w:trPr>
        <w:tc>
          <w:tcPr>
            <w:tcW w:w="2520" w:type="dxa"/>
            <w:tcBorders>
              <w:top w:val="single" w:sz="7" w:space="0" w:color="000000"/>
              <w:left w:val="single" w:sz="7" w:space="0" w:color="000000"/>
              <w:bottom w:val="single" w:sz="7" w:space="0" w:color="000000"/>
              <w:right w:val="single" w:sz="7" w:space="0" w:color="000000"/>
            </w:tcBorders>
            <w:tcMar>
              <w:top w:w="0" w:type="dxa"/>
              <w:bottom w:w="0" w:type="dxa"/>
            </w:tcMar>
          </w:tcPr>
          <w:p w14:paraId="409AF5E3" w14:textId="77777777" w:rsidR="00CC7F55" w:rsidRDefault="002C5F92">
            <w:pPr>
              <w:spacing w:line="256" w:lineRule="auto"/>
              <w:ind w:left="140" w:right="140"/>
              <w:rPr>
                <w:b/>
                <w:sz w:val="24"/>
                <w:szCs w:val="24"/>
              </w:rPr>
            </w:pPr>
            <w:r>
              <w:rPr>
                <w:b/>
                <w:noProof/>
                <w:sz w:val="24"/>
                <w:szCs w:val="24"/>
              </w:rPr>
              <w:drawing>
                <wp:inline distT="114300" distB="114300" distL="114300" distR="114300" wp14:anchorId="1706A007" wp14:editId="7435DF1E">
                  <wp:extent cx="533400" cy="101600"/>
                  <wp:effectExtent l="0" t="0" r="0" b="0"/>
                  <wp:docPr id="4" name="image7.gif"/>
                  <wp:cNvGraphicFramePr/>
                  <a:graphic xmlns:a="http://schemas.openxmlformats.org/drawingml/2006/main">
                    <a:graphicData uri="http://schemas.openxmlformats.org/drawingml/2006/picture">
                      <pic:pic xmlns:pic="http://schemas.openxmlformats.org/drawingml/2006/picture">
                        <pic:nvPicPr>
                          <pic:cNvPr id="0" name="image7.gif"/>
                          <pic:cNvPicPr preferRelativeResize="0"/>
                        </pic:nvPicPr>
                        <pic:blipFill>
                          <a:blip r:embed="rId16"/>
                          <a:srcRect/>
                          <a:stretch>
                            <a:fillRect/>
                          </a:stretch>
                        </pic:blipFill>
                        <pic:spPr>
                          <a:xfrm>
                            <a:off x="0" y="0"/>
                            <a:ext cx="533400" cy="101600"/>
                          </a:xfrm>
                          <a:prstGeom prst="rect">
                            <a:avLst/>
                          </a:prstGeom>
                          <a:ln/>
                        </pic:spPr>
                      </pic:pic>
                    </a:graphicData>
                  </a:graphic>
                </wp:inline>
              </w:drawing>
            </w:r>
          </w:p>
        </w:tc>
      </w:tr>
    </w:tbl>
    <w:p w14:paraId="586869FE" w14:textId="77777777" w:rsidR="00CC7F55" w:rsidRDefault="002C5F92">
      <w:pPr>
        <w:numPr>
          <w:ilvl w:val="0"/>
          <w:numId w:val="5"/>
        </w:numPr>
        <w:spacing w:before="240"/>
      </w:pPr>
      <w:r>
        <w:t>Binary variable indicating whether scenario(s) are selected for site(</w:t>
      </w:r>
      <w:proofErr w:type="spellStart"/>
      <w:r>
        <w:t>i</w:t>
      </w:r>
      <w:proofErr w:type="spellEnd"/>
      <w:r>
        <w:t>)</w:t>
      </w:r>
    </w:p>
    <w:p w14:paraId="38B72A63" w14:textId="77777777" w:rsidR="00CC7F55" w:rsidRDefault="002C5F92">
      <w:pPr>
        <w:numPr>
          <w:ilvl w:val="0"/>
          <w:numId w:val="5"/>
        </w:numPr>
      </w:pPr>
      <w:r>
        <w:t>Power output at site (</w:t>
      </w:r>
      <w:proofErr w:type="spellStart"/>
      <w:r>
        <w:t>i</w:t>
      </w:r>
      <w:proofErr w:type="spellEnd"/>
      <w:r>
        <w:t>), scenario (s), time (t)</w:t>
      </w:r>
    </w:p>
    <w:p w14:paraId="65E1EE21" w14:textId="77777777" w:rsidR="00CC7F55" w:rsidRDefault="002C5F92">
      <w:pPr>
        <w:numPr>
          <w:ilvl w:val="0"/>
          <w:numId w:val="5"/>
        </w:numPr>
      </w:pPr>
      <w:r>
        <w:t>Revenue from power generation at (</w:t>
      </w:r>
      <w:proofErr w:type="spellStart"/>
      <w:proofErr w:type="gramStart"/>
      <w:r>
        <w:t>i,s</w:t>
      </w:r>
      <w:proofErr w:type="gramEnd"/>
      <w:r>
        <w:t>,t</w:t>
      </w:r>
      <w:proofErr w:type="spellEnd"/>
      <w:r>
        <w:t>) ($)</w:t>
      </w:r>
    </w:p>
    <w:p w14:paraId="277963D9" w14:textId="77777777" w:rsidR="00CC7F55" w:rsidRDefault="002C5F92">
      <w:pPr>
        <w:numPr>
          <w:ilvl w:val="0"/>
          <w:numId w:val="5"/>
        </w:numPr>
      </w:pPr>
      <w:r>
        <w:t>Total energy recovered (MWh)</w:t>
      </w:r>
    </w:p>
    <w:p w14:paraId="76F838F8" w14:textId="77777777" w:rsidR="00CC7F55" w:rsidRDefault="002C5F92">
      <w:pPr>
        <w:numPr>
          <w:ilvl w:val="0"/>
          <w:numId w:val="5"/>
        </w:numPr>
        <w:spacing w:after="240"/>
      </w:pPr>
      <w:r>
        <w:t>And finally, Total revenue ($)</w:t>
      </w:r>
    </w:p>
    <w:p w14:paraId="2BAE8AB1" w14:textId="77777777" w:rsidR="00CC7F55" w:rsidRDefault="002C5F92">
      <w:pPr>
        <w:spacing w:before="240" w:after="240"/>
        <w:rPr>
          <w:b/>
          <w:sz w:val="24"/>
          <w:szCs w:val="24"/>
        </w:rPr>
      </w:pPr>
      <w:r>
        <w:rPr>
          <w:b/>
          <w:sz w:val="24"/>
          <w:szCs w:val="24"/>
        </w:rPr>
        <w:t>Logic:</w:t>
      </w:r>
    </w:p>
    <w:p w14:paraId="620B60DF" w14:textId="77777777" w:rsidR="00CC7F55" w:rsidRDefault="002C5F92">
      <w:pPr>
        <w:numPr>
          <w:ilvl w:val="0"/>
          <w:numId w:val="1"/>
        </w:numPr>
        <w:spacing w:before="240"/>
        <w:rPr>
          <w:sz w:val="24"/>
          <w:szCs w:val="24"/>
        </w:rPr>
      </w:pPr>
      <w:r>
        <w:rPr>
          <w:sz w:val="24"/>
          <w:szCs w:val="24"/>
        </w:rPr>
        <w:t>The binary variable X(</w:t>
      </w:r>
      <w:proofErr w:type="spellStart"/>
      <w:proofErr w:type="gramStart"/>
      <w:r>
        <w:rPr>
          <w:sz w:val="24"/>
          <w:szCs w:val="24"/>
        </w:rPr>
        <w:t>i,s</w:t>
      </w:r>
      <w:proofErr w:type="spellEnd"/>
      <w:proofErr w:type="gramEnd"/>
      <w:r>
        <w:rPr>
          <w:sz w:val="24"/>
          <w:szCs w:val="24"/>
        </w:rPr>
        <w:t>) is the core decision to select one system per site.</w:t>
      </w:r>
      <w:r>
        <w:rPr>
          <w:sz w:val="24"/>
          <w:szCs w:val="24"/>
        </w:rPr>
        <w:br/>
      </w:r>
    </w:p>
    <w:p w14:paraId="69902A2B" w14:textId="77777777" w:rsidR="00CC7F55" w:rsidRDefault="002C5F92">
      <w:pPr>
        <w:numPr>
          <w:ilvl w:val="0"/>
          <w:numId w:val="1"/>
        </w:numPr>
        <w:rPr>
          <w:sz w:val="24"/>
          <w:szCs w:val="24"/>
        </w:rPr>
      </w:pPr>
      <w:r>
        <w:rPr>
          <w:sz w:val="24"/>
          <w:szCs w:val="24"/>
        </w:rPr>
        <w:t>P(</w:t>
      </w:r>
      <w:proofErr w:type="spellStart"/>
      <w:proofErr w:type="gramStart"/>
      <w:r>
        <w:rPr>
          <w:sz w:val="24"/>
          <w:szCs w:val="24"/>
        </w:rPr>
        <w:t>i,s</w:t>
      </w:r>
      <w:proofErr w:type="gramEnd"/>
      <w:r>
        <w:rPr>
          <w:sz w:val="24"/>
          <w:szCs w:val="24"/>
        </w:rPr>
        <w:t>,t</w:t>
      </w:r>
      <w:proofErr w:type="spellEnd"/>
      <w:r>
        <w:rPr>
          <w:sz w:val="24"/>
          <w:szCs w:val="24"/>
        </w:rPr>
        <w:t>) and R(</w:t>
      </w:r>
      <w:proofErr w:type="spellStart"/>
      <w:proofErr w:type="gramStart"/>
      <w:r>
        <w:rPr>
          <w:sz w:val="24"/>
          <w:szCs w:val="24"/>
        </w:rPr>
        <w:t>i,s</w:t>
      </w:r>
      <w:proofErr w:type="gramEnd"/>
      <w:r>
        <w:rPr>
          <w:sz w:val="24"/>
          <w:szCs w:val="24"/>
        </w:rPr>
        <w:t>,t</w:t>
      </w:r>
      <w:proofErr w:type="spellEnd"/>
      <w:r>
        <w:rPr>
          <w:sz w:val="24"/>
          <w:szCs w:val="24"/>
        </w:rPr>
        <w:t>) are dependent (they’re calculated from X).</w:t>
      </w:r>
      <w:r>
        <w:rPr>
          <w:sz w:val="24"/>
          <w:szCs w:val="24"/>
        </w:rPr>
        <w:br/>
      </w:r>
    </w:p>
    <w:p w14:paraId="5AAEA7AF" w14:textId="77777777" w:rsidR="00CC7F55" w:rsidRDefault="002C5F92">
      <w:pPr>
        <w:numPr>
          <w:ilvl w:val="0"/>
          <w:numId w:val="1"/>
        </w:numPr>
        <w:spacing w:after="240"/>
        <w:rPr>
          <w:sz w:val="24"/>
          <w:szCs w:val="24"/>
        </w:rPr>
      </w:pPr>
      <w:proofErr w:type="spellStart"/>
      <w:r>
        <w:rPr>
          <w:sz w:val="24"/>
          <w:szCs w:val="24"/>
        </w:rPr>
        <w:t>Energy_total</w:t>
      </w:r>
      <w:proofErr w:type="spellEnd"/>
      <w:r>
        <w:rPr>
          <w:sz w:val="24"/>
          <w:szCs w:val="24"/>
        </w:rPr>
        <w:t xml:space="preserve"> and </w:t>
      </w:r>
      <w:proofErr w:type="spellStart"/>
      <w:r>
        <w:rPr>
          <w:sz w:val="24"/>
          <w:szCs w:val="24"/>
        </w:rPr>
        <w:t>Revenue_total</w:t>
      </w:r>
      <w:proofErr w:type="spellEnd"/>
      <w:r>
        <w:rPr>
          <w:sz w:val="24"/>
          <w:szCs w:val="24"/>
        </w:rPr>
        <w:t xml:space="preserve"> summarize system-wide performance.</w:t>
      </w:r>
      <w:r>
        <w:rPr>
          <w:sz w:val="24"/>
          <w:szCs w:val="24"/>
        </w:rPr>
        <w:br/>
      </w:r>
    </w:p>
    <w:p w14:paraId="7963CC46" w14:textId="77777777" w:rsidR="00CC7F55" w:rsidRDefault="002C5F92">
      <w:pPr>
        <w:pStyle w:val="Heading3"/>
        <w:keepNext w:val="0"/>
        <w:keepLines w:val="0"/>
        <w:spacing w:before="280"/>
        <w:rPr>
          <w:b/>
          <w:color w:val="000000"/>
          <w:sz w:val="26"/>
          <w:szCs w:val="26"/>
        </w:rPr>
      </w:pPr>
      <w:bookmarkStart w:id="7" w:name="_ffuafjvze29w" w:colFirst="0" w:colLast="0"/>
      <w:bookmarkEnd w:id="7"/>
      <w:r>
        <w:rPr>
          <w:b/>
          <w:color w:val="000000"/>
          <w:sz w:val="26"/>
          <w:szCs w:val="26"/>
        </w:rPr>
        <w:t>Objective Function</w:t>
      </w:r>
    </w:p>
    <w:p w14:paraId="04A08242" w14:textId="77777777" w:rsidR="00CC7F55" w:rsidRDefault="002C5F92">
      <w:pPr>
        <w:pStyle w:val="Heading3"/>
        <w:keepNext w:val="0"/>
        <w:keepLines w:val="0"/>
        <w:spacing w:before="280"/>
        <w:rPr>
          <w:b/>
          <w:color w:val="000000"/>
          <w:sz w:val="26"/>
          <w:szCs w:val="26"/>
        </w:rPr>
      </w:pPr>
      <w:bookmarkStart w:id="8" w:name="_szw9q741mbhg" w:colFirst="0" w:colLast="0"/>
      <w:bookmarkEnd w:id="8"/>
      <w:r>
        <w:rPr>
          <w:b/>
          <w:color w:val="000000"/>
          <w:sz w:val="26"/>
          <w:szCs w:val="26"/>
        </w:rPr>
        <w:t>Maximize Total Energy Recovered</w:t>
      </w:r>
    </w:p>
    <w:p w14:paraId="1CB1D5F3" w14:textId="4B72044A" w:rsidR="00CC7F55" w:rsidRPr="002C5F92" w:rsidRDefault="002C5F92">
      <w:pPr>
        <w:spacing w:line="256" w:lineRule="auto"/>
        <w:rPr>
          <w:sz w:val="24"/>
          <w:szCs w:val="24"/>
        </w:rPr>
      </w:pPr>
      <m:oMathPara>
        <m:oMath>
          <m:r>
            <m:rPr>
              <m:nor/>
            </m:rPr>
            <w:rPr>
              <w:b/>
              <w:bCs/>
              <w:sz w:val="24"/>
              <w:szCs w:val="24"/>
            </w:rPr>
            <m:t xml:space="preserve">Maximize </m:t>
          </m:r>
          <m:r>
            <m:rPr>
              <m:sty m:val="bi"/>
            </m:rPr>
            <w:rPr>
              <w:rFonts w:ascii="Cambria Math" w:hAnsi="Cambria Math"/>
              <w:sz w:val="24"/>
              <w:szCs w:val="24"/>
            </w:rPr>
            <m:t>Energy</m:t>
          </m:r>
          <m:r>
            <m:rPr>
              <m:sty m:val="b"/>
            </m:rPr>
            <w:rPr>
              <w:rFonts w:ascii="Cambria Math" w:hAnsi="Cambria Math"/>
              <w:sz w:val="24"/>
              <w:szCs w:val="24"/>
            </w:rPr>
            <m:t>_</m:t>
          </m:r>
          <m:r>
            <m:rPr>
              <m:sty m:val="bi"/>
            </m:rPr>
            <w:rPr>
              <w:rFonts w:ascii="Cambria Math" w:hAnsi="Cambria Math"/>
              <w:sz w:val="24"/>
              <w:szCs w:val="24"/>
            </w:rPr>
            <m:t>total=</m:t>
          </m:r>
          <m:nary>
            <m:naryPr>
              <m:chr m:val="∑"/>
              <m:limLoc m:val="undOvr"/>
              <m:grow m:val="1"/>
              <m:supHide m:val="1"/>
              <m:ctrlPr>
                <w:rPr>
                  <w:rFonts w:ascii="Cambria Math" w:hAnsi="Cambria Math"/>
                  <w:b/>
                  <w:bCs/>
                  <w:sz w:val="24"/>
                  <w:szCs w:val="24"/>
                </w:rPr>
              </m:ctrlPr>
            </m:naryPr>
            <m:sub>
              <m:r>
                <m:rPr>
                  <m:sty m:val="bi"/>
                </m:rPr>
                <w:rPr>
                  <w:rFonts w:ascii="Cambria Math" w:hAnsi="Cambria Math"/>
                  <w:sz w:val="24"/>
                  <w:szCs w:val="24"/>
                </w:rPr>
                <m:t>i,s,t</m:t>
              </m:r>
            </m:sub>
            <m:sup/>
            <m:e/>
          </m:nary>
          <m:r>
            <m:rPr>
              <m:sty m:val="bi"/>
            </m:rPr>
            <w:rPr>
              <w:rFonts w:ascii="Cambria Math" w:hAnsi="Cambria Math"/>
              <w:sz w:val="24"/>
              <w:szCs w:val="24"/>
            </w:rPr>
            <m:t>P(i,s,t)</m:t>
          </m:r>
          <m:r>
            <m:rPr>
              <m:sty m:val="p"/>
            </m:rPr>
            <w:rPr>
              <w:sz w:val="24"/>
              <w:szCs w:val="24"/>
            </w:rPr>
            <w:br/>
          </m:r>
        </m:oMath>
      </m:oMathPara>
    </w:p>
    <w:p w14:paraId="6D69990D" w14:textId="77777777" w:rsidR="00CC7F55" w:rsidRDefault="002C5F92">
      <w:pPr>
        <w:pStyle w:val="Heading3"/>
        <w:keepNext w:val="0"/>
        <w:keepLines w:val="0"/>
        <w:spacing w:before="280"/>
        <w:rPr>
          <w:b/>
          <w:color w:val="000000"/>
          <w:sz w:val="26"/>
          <w:szCs w:val="26"/>
        </w:rPr>
      </w:pPr>
      <w:bookmarkStart w:id="9" w:name="_4qa9rvk4n3h4" w:colFirst="0" w:colLast="0"/>
      <w:bookmarkEnd w:id="9"/>
      <w:r>
        <w:rPr>
          <w:b/>
          <w:color w:val="000000"/>
          <w:sz w:val="26"/>
          <w:szCs w:val="26"/>
        </w:rPr>
        <w:t>Logic:</w:t>
      </w:r>
    </w:p>
    <w:p w14:paraId="07217665" w14:textId="77777777" w:rsidR="00CC7F55" w:rsidRDefault="002C5F92">
      <w:pPr>
        <w:spacing w:before="240" w:after="240"/>
      </w:pPr>
      <w:r>
        <w:t>The objective is to extract the highest available energy from waste at mine sites.</w:t>
      </w:r>
    </w:p>
    <w:p w14:paraId="29C7BF1C" w14:textId="77777777" w:rsidR="00CC7F55" w:rsidRDefault="002C5F92">
      <w:pPr>
        <w:spacing w:before="240" w:after="240"/>
      </w:pPr>
      <w:r>
        <w:t xml:space="preserve">This is a strategic optimization criterion </w:t>
      </w:r>
      <w:proofErr w:type="gramStart"/>
      <w:r>
        <w:t>when</w:t>
      </w:r>
      <w:proofErr w:type="gramEnd"/>
      <w:r>
        <w:t xml:space="preserve"> the aim of the company is to maximize the internal energy recovery or reduce purchased electricity.</w:t>
      </w:r>
    </w:p>
    <w:p w14:paraId="6EFB5469" w14:textId="77777777" w:rsidR="00CC7F55" w:rsidRDefault="002C5F92">
      <w:pPr>
        <w:pStyle w:val="Heading3"/>
        <w:keepNext w:val="0"/>
        <w:keepLines w:val="0"/>
        <w:spacing w:before="280"/>
        <w:rPr>
          <w:b/>
          <w:color w:val="000000"/>
          <w:sz w:val="26"/>
          <w:szCs w:val="26"/>
        </w:rPr>
      </w:pPr>
      <w:bookmarkStart w:id="10" w:name="_55y86cxrmk2b" w:colFirst="0" w:colLast="0"/>
      <w:bookmarkEnd w:id="10"/>
      <w:r>
        <w:rPr>
          <w:b/>
          <w:color w:val="000000"/>
          <w:sz w:val="26"/>
          <w:szCs w:val="26"/>
        </w:rPr>
        <w:t>Constraints</w:t>
      </w:r>
    </w:p>
    <w:p w14:paraId="3AE225AC" w14:textId="77777777" w:rsidR="00CC7F55" w:rsidRPr="002C5F92" w:rsidRDefault="002C5F92">
      <w:pPr>
        <w:spacing w:line="256" w:lineRule="auto"/>
        <w:rPr>
          <w:b/>
          <w:sz w:val="24"/>
          <w:szCs w:val="24"/>
        </w:rPr>
      </w:pPr>
      <w:r>
        <w:rPr>
          <w:b/>
          <w:sz w:val="24"/>
          <w:szCs w:val="24"/>
        </w:rPr>
        <w:t>(a) Power Output Definition</w:t>
      </w:r>
    </w:p>
    <w:p w14:paraId="3573C91F" w14:textId="04666367" w:rsidR="002C5F92" w:rsidRPr="0045242E" w:rsidRDefault="002C5F92" w:rsidP="002C5F92">
      <w:pPr>
        <w:spacing w:line="259" w:lineRule="auto"/>
        <w:rPr>
          <w:iCs/>
          <w:sz w:val="24"/>
          <w:szCs w:val="24"/>
        </w:rPr>
      </w:pPr>
      <m:oMathPara>
        <m:oMath>
          <m:r>
            <m:rPr>
              <m:sty m:val="p"/>
            </m:rPr>
            <w:rPr>
              <w:rFonts w:ascii="Cambria Math" w:hAnsi="Cambria Math"/>
              <w:sz w:val="24"/>
              <w:szCs w:val="24"/>
            </w:rPr>
            <m:t>P(i,s,t)=H(i,s)×E(s)×X(i,s)</m:t>
          </m:r>
          <m:r>
            <m:rPr>
              <m:sty m:val="p"/>
            </m:rPr>
            <w:rPr>
              <w:sz w:val="24"/>
              <w:szCs w:val="24"/>
            </w:rPr>
            <w:br/>
          </m:r>
        </m:oMath>
      </m:oMathPara>
    </w:p>
    <w:p w14:paraId="10CC161F" w14:textId="0EB43EC2" w:rsidR="00CC7F55" w:rsidRDefault="002C5F92">
      <w:pPr>
        <w:spacing w:line="256" w:lineRule="auto"/>
        <w:rPr>
          <w:b/>
        </w:rPr>
      </w:pPr>
      <w:r>
        <w:rPr>
          <w:b/>
        </w:rPr>
        <w:br/>
      </w:r>
    </w:p>
    <w:p w14:paraId="0079668D" w14:textId="77777777" w:rsidR="00CC7F55" w:rsidRDefault="002C5F92">
      <w:pPr>
        <w:spacing w:line="256" w:lineRule="auto"/>
      </w:pPr>
      <w:r>
        <w:rPr>
          <w:b/>
        </w:rPr>
        <w:t>Logic:</w:t>
      </w:r>
      <w:r>
        <w:rPr>
          <w:b/>
        </w:rPr>
        <w:br/>
      </w:r>
      <w:r>
        <w:t xml:space="preserve"> Power generation at each site depends on the higher temperature of the available heat and the heat engine efficiency; it will be generated only if you have deployed.</w:t>
      </w:r>
    </w:p>
    <w:p w14:paraId="4C5FE70B" w14:textId="77777777" w:rsidR="00CC7F55" w:rsidRDefault="00CC7F55">
      <w:pPr>
        <w:spacing w:line="256" w:lineRule="auto"/>
      </w:pPr>
    </w:p>
    <w:p w14:paraId="162F7734" w14:textId="77777777" w:rsidR="00CC7F55" w:rsidRDefault="00CC7F55">
      <w:pPr>
        <w:spacing w:line="256" w:lineRule="auto"/>
      </w:pPr>
    </w:p>
    <w:p w14:paraId="35FCBB8A" w14:textId="77777777" w:rsidR="00CC7F55" w:rsidRDefault="002C5F92">
      <w:pPr>
        <w:spacing w:line="256" w:lineRule="auto"/>
        <w:rPr>
          <w:b/>
          <w:sz w:val="24"/>
          <w:szCs w:val="24"/>
        </w:rPr>
      </w:pPr>
      <w:r>
        <w:rPr>
          <w:b/>
          <w:sz w:val="24"/>
          <w:szCs w:val="24"/>
        </w:rPr>
        <w:t>(b) Scenario Selection Limit</w:t>
      </w:r>
    </w:p>
    <w:p w14:paraId="3BB37912" w14:textId="39B62D7D" w:rsidR="00CC7F55" w:rsidRPr="002C5F92" w:rsidRDefault="00E7496A">
      <w:pPr>
        <w:spacing w:line="256" w:lineRule="auto"/>
        <w:ind w:left="720"/>
        <w:rPr>
          <w:b/>
          <w:iCs/>
          <w:sz w:val="24"/>
          <w:szCs w:val="24"/>
        </w:rPr>
      </w:pPr>
      <m:oMathPara>
        <m:oMath>
          <m:nary>
            <m:naryPr>
              <m:chr m:val="∑"/>
              <m:limLoc m:val="undOvr"/>
              <m:grow m:val="1"/>
              <m:supHide m:val="1"/>
              <m:ctrlPr>
                <w:rPr>
                  <w:rFonts w:ascii="Cambria Math" w:hAnsi="Cambria Math"/>
                  <w:iCs/>
                  <w:sz w:val="24"/>
                  <w:szCs w:val="24"/>
                </w:rPr>
              </m:ctrlPr>
            </m:naryPr>
            <m:sub>
              <m:r>
                <m:rPr>
                  <m:sty m:val="p"/>
                </m:rPr>
                <w:rPr>
                  <w:rFonts w:ascii="Cambria Math" w:hAnsi="Cambria Math"/>
                  <w:sz w:val="24"/>
                  <w:szCs w:val="24"/>
                </w:rPr>
                <m:t>s</m:t>
              </m:r>
            </m:sub>
            <m:sup/>
            <m:e/>
          </m:nary>
          <m:r>
            <m:rPr>
              <m:sty m:val="p"/>
            </m:rPr>
            <w:rPr>
              <w:rFonts w:ascii="Cambria Math" w:hAnsi="Cambria Math"/>
              <w:sz w:val="24"/>
              <w:szCs w:val="24"/>
            </w:rPr>
            <m:t>X(i,s)≤1∀i</m:t>
          </m:r>
          <m:r>
            <m:rPr>
              <m:sty m:val="b"/>
            </m:rPr>
            <w:rPr>
              <w:sz w:val="24"/>
              <w:szCs w:val="24"/>
            </w:rPr>
            <w:br/>
          </m:r>
        </m:oMath>
        <m:oMath>
          <m:r>
            <m:rPr>
              <m:sty m:val="b"/>
            </m:rPr>
            <w:rPr>
              <w:sz w:val="24"/>
              <w:szCs w:val="24"/>
            </w:rPr>
            <w:br/>
          </m:r>
        </m:oMath>
      </m:oMathPara>
    </w:p>
    <w:p w14:paraId="6F387C81" w14:textId="77777777" w:rsidR="00CC7F55" w:rsidRDefault="002C5F92">
      <w:pPr>
        <w:spacing w:line="256" w:lineRule="auto"/>
      </w:pPr>
      <w:r>
        <w:rPr>
          <w:b/>
        </w:rPr>
        <w:t>Logic:</w:t>
      </w:r>
      <w:r>
        <w:rPr>
          <w:b/>
        </w:rPr>
        <w:br/>
      </w:r>
      <w:r>
        <w:t xml:space="preserve"> Each site can only install </w:t>
      </w:r>
      <w:r>
        <w:rPr>
          <w:b/>
        </w:rPr>
        <w:t>one</w:t>
      </w:r>
      <w:r>
        <w:t xml:space="preserve"> energy-recovery system.</w:t>
      </w:r>
    </w:p>
    <w:p w14:paraId="650D6050" w14:textId="77777777" w:rsidR="00CC7F55" w:rsidRDefault="00CC7F55">
      <w:pPr>
        <w:spacing w:line="256" w:lineRule="auto"/>
      </w:pPr>
    </w:p>
    <w:p w14:paraId="4D34DC37" w14:textId="77777777" w:rsidR="00CC7F55" w:rsidRDefault="002C5F92">
      <w:pPr>
        <w:spacing w:line="256" w:lineRule="auto"/>
        <w:rPr>
          <w:b/>
          <w:sz w:val="24"/>
          <w:szCs w:val="24"/>
        </w:rPr>
      </w:pPr>
      <w:r>
        <w:rPr>
          <w:b/>
          <w:sz w:val="24"/>
          <w:szCs w:val="24"/>
        </w:rPr>
        <w:t>(c) Environmental Water Constraint</w:t>
      </w:r>
    </w:p>
    <w:p w14:paraId="7FF10D2F" w14:textId="0E5025EC" w:rsidR="00CC7F55" w:rsidRPr="002C5F92" w:rsidRDefault="00E7496A">
      <w:pPr>
        <w:spacing w:line="256" w:lineRule="auto"/>
        <w:ind w:left="720"/>
        <w:rPr>
          <w:b/>
          <w:iCs/>
          <w:sz w:val="24"/>
          <w:szCs w:val="24"/>
        </w:rPr>
      </w:pPr>
      <m:oMathPara>
        <m:oMath>
          <m:nary>
            <m:naryPr>
              <m:chr m:val="∑"/>
              <m:limLoc m:val="undOvr"/>
              <m:grow m:val="1"/>
              <m:supHide m:val="1"/>
              <m:ctrlPr>
                <w:rPr>
                  <w:rFonts w:ascii="Cambria Math" w:hAnsi="Cambria Math"/>
                  <w:iCs/>
                  <w:sz w:val="24"/>
                  <w:szCs w:val="24"/>
                </w:rPr>
              </m:ctrlPr>
            </m:naryPr>
            <m:sub>
              <m:r>
                <m:rPr>
                  <m:sty m:val="p"/>
                </m:rPr>
                <w:rPr>
                  <w:rFonts w:ascii="Cambria Math" w:hAnsi="Cambria Math"/>
                  <w:sz w:val="24"/>
                  <w:szCs w:val="24"/>
                </w:rPr>
                <m:t>s</m:t>
              </m:r>
            </m:sub>
            <m:sup/>
            <m:e/>
          </m:nary>
          <m:r>
            <m:rPr>
              <m:sty m:val="p"/>
            </m:rPr>
            <w:rPr>
              <w:rFonts w:ascii="Cambria Math" w:hAnsi="Cambria Math"/>
              <w:sz w:val="24"/>
              <w:szCs w:val="24"/>
            </w:rPr>
            <m:t>WaterUse(i,s)×X(i,s)≤WaterLimit(i)∀i</m:t>
          </m:r>
          <m:r>
            <m:rPr>
              <m:sty m:val="b"/>
            </m:rPr>
            <w:rPr>
              <w:sz w:val="24"/>
              <w:szCs w:val="24"/>
            </w:rPr>
            <w:br/>
          </m:r>
        </m:oMath>
        <m:oMath>
          <m:r>
            <m:rPr>
              <m:sty m:val="b"/>
            </m:rPr>
            <w:rPr>
              <w:sz w:val="24"/>
              <w:szCs w:val="24"/>
            </w:rPr>
            <w:br/>
          </m:r>
        </m:oMath>
      </m:oMathPara>
    </w:p>
    <w:p w14:paraId="5D93B0CB" w14:textId="77777777" w:rsidR="00CC7F55" w:rsidRDefault="002C5F92">
      <w:pPr>
        <w:spacing w:line="256" w:lineRule="auto"/>
      </w:pPr>
      <w:r>
        <w:rPr>
          <w:b/>
        </w:rPr>
        <w:t>Logic:</w:t>
      </w:r>
      <w:r>
        <w:rPr>
          <w:b/>
        </w:rPr>
        <w:br/>
      </w:r>
      <w:r>
        <w:t xml:space="preserve"> Prevents the total water consumption from exceeding the site’s environmental permit.</w:t>
      </w:r>
    </w:p>
    <w:p w14:paraId="05F24B2B" w14:textId="77777777" w:rsidR="00CC7F55" w:rsidRDefault="00CC7F55">
      <w:pPr>
        <w:spacing w:line="256" w:lineRule="auto"/>
      </w:pPr>
    </w:p>
    <w:p w14:paraId="3B3A67EB" w14:textId="77777777" w:rsidR="00CC7F55" w:rsidRDefault="002C5F92">
      <w:pPr>
        <w:spacing w:line="256" w:lineRule="auto"/>
        <w:rPr>
          <w:b/>
          <w:sz w:val="24"/>
          <w:szCs w:val="24"/>
        </w:rPr>
      </w:pPr>
      <w:r>
        <w:rPr>
          <w:b/>
          <w:sz w:val="24"/>
          <w:szCs w:val="24"/>
        </w:rPr>
        <w:t>(d) Revenue Calculation</w:t>
      </w:r>
    </w:p>
    <w:p w14:paraId="4AB17E28" w14:textId="6D0313FD" w:rsidR="00CC7F55" w:rsidRPr="002C5F92" w:rsidRDefault="002C5F92">
      <w:pPr>
        <w:spacing w:line="256" w:lineRule="auto"/>
        <w:ind w:left="720"/>
        <w:rPr>
          <w:b/>
          <w:iCs/>
          <w:sz w:val="24"/>
          <w:szCs w:val="24"/>
        </w:rPr>
      </w:pPr>
      <m:oMathPara>
        <m:oMath>
          <m:r>
            <m:rPr>
              <m:sty m:val="p"/>
            </m:rPr>
            <w:rPr>
              <w:rFonts w:ascii="Cambria Math" w:hAnsi="Cambria Math"/>
              <w:sz w:val="24"/>
              <w:szCs w:val="24"/>
            </w:rPr>
            <m:t>Rev(i,s,t)=P(i,s,t)×Price(t)</m:t>
          </m:r>
          <m:r>
            <m:rPr>
              <m:sty m:val="p"/>
            </m:rPr>
            <w:rPr>
              <w:sz w:val="24"/>
              <w:szCs w:val="24"/>
            </w:rPr>
            <w:br/>
          </m:r>
        </m:oMath>
        <m:oMath>
          <m:r>
            <m:rPr>
              <m:sty m:val="b"/>
            </m:rPr>
            <w:rPr>
              <w:sz w:val="24"/>
              <w:szCs w:val="24"/>
            </w:rPr>
            <w:br/>
          </m:r>
        </m:oMath>
        <m:oMath>
          <m:r>
            <m:rPr>
              <m:sty m:val="b"/>
            </m:rPr>
            <w:rPr>
              <w:sz w:val="24"/>
              <w:szCs w:val="24"/>
            </w:rPr>
            <w:br/>
          </m:r>
        </m:oMath>
      </m:oMathPara>
    </w:p>
    <w:p w14:paraId="1641B1EE" w14:textId="77777777" w:rsidR="00CC7F55" w:rsidRDefault="002C5F92">
      <w:pPr>
        <w:spacing w:line="256" w:lineRule="auto"/>
      </w:pPr>
      <w:r>
        <w:rPr>
          <w:b/>
        </w:rPr>
        <w:t>Logic:</w:t>
      </w:r>
      <w:r>
        <w:rPr>
          <w:b/>
        </w:rPr>
        <w:br/>
      </w:r>
      <w:r>
        <w:t xml:space="preserve"> Revenue is derived directly from energy sold at market prices.</w:t>
      </w:r>
    </w:p>
    <w:p w14:paraId="7153B26D" w14:textId="77777777" w:rsidR="00CC7F55" w:rsidRDefault="00CC7F55">
      <w:pPr>
        <w:spacing w:line="256" w:lineRule="auto"/>
      </w:pPr>
    </w:p>
    <w:p w14:paraId="32F0FDEE" w14:textId="77777777" w:rsidR="00CC7F55" w:rsidRDefault="002C5F92">
      <w:pPr>
        <w:spacing w:line="256" w:lineRule="auto"/>
        <w:rPr>
          <w:b/>
          <w:sz w:val="24"/>
          <w:szCs w:val="24"/>
        </w:rPr>
      </w:pPr>
      <w:r>
        <w:rPr>
          <w:b/>
          <w:sz w:val="24"/>
          <w:szCs w:val="24"/>
        </w:rPr>
        <w:t>(e) Aggregate Revenue</w:t>
      </w:r>
    </w:p>
    <w:p w14:paraId="1B1C404E" w14:textId="7224F091" w:rsidR="002C5F92" w:rsidRPr="0045242E" w:rsidRDefault="002C5F92" w:rsidP="002C5F92">
      <w:pPr>
        <w:spacing w:line="259" w:lineRule="auto"/>
        <w:rPr>
          <w:iCs/>
          <w:sz w:val="24"/>
          <w:szCs w:val="24"/>
        </w:rPr>
      </w:pPr>
      <m:oMathPara>
        <m:oMath>
          <m:r>
            <m:rPr>
              <m:sty m:val="p"/>
            </m:rPr>
            <w:rPr>
              <w:rFonts w:ascii="Cambria Math" w:hAnsi="Cambria Math"/>
              <w:sz w:val="24"/>
              <w:szCs w:val="24"/>
            </w:rPr>
            <m:t>Revenue_total=</m:t>
          </m:r>
          <m:nary>
            <m:naryPr>
              <m:chr m:val="∑"/>
              <m:limLoc m:val="undOvr"/>
              <m:grow m:val="1"/>
              <m:supHide m:val="1"/>
              <m:ctrlPr>
                <w:rPr>
                  <w:rFonts w:ascii="Cambria Math" w:hAnsi="Cambria Math"/>
                  <w:iCs/>
                  <w:sz w:val="24"/>
                  <w:szCs w:val="24"/>
                </w:rPr>
              </m:ctrlPr>
            </m:naryPr>
            <m:sub>
              <m:r>
                <m:rPr>
                  <m:sty m:val="p"/>
                </m:rPr>
                <w:rPr>
                  <w:rFonts w:ascii="Cambria Math" w:hAnsi="Cambria Math"/>
                  <w:sz w:val="24"/>
                  <w:szCs w:val="24"/>
                </w:rPr>
                <m:t>i,s,t</m:t>
              </m:r>
            </m:sub>
            <m:sup/>
            <m:e/>
          </m:nary>
          <m:r>
            <m:rPr>
              <m:sty m:val="p"/>
            </m:rPr>
            <w:rPr>
              <w:rFonts w:ascii="Cambria Math" w:hAnsi="Cambria Math"/>
              <w:sz w:val="24"/>
              <w:szCs w:val="24"/>
            </w:rPr>
            <m:t>Rev(i,s,t)</m:t>
          </m:r>
          <m:r>
            <m:rPr>
              <m:sty m:val="p"/>
            </m:rPr>
            <w:rPr>
              <w:sz w:val="24"/>
              <w:szCs w:val="24"/>
            </w:rPr>
            <w:br/>
          </m:r>
        </m:oMath>
      </m:oMathPara>
    </w:p>
    <w:p w14:paraId="624A5087" w14:textId="49B7614A" w:rsidR="00CC7F55" w:rsidRDefault="002C5F92">
      <w:pPr>
        <w:spacing w:line="256" w:lineRule="auto"/>
        <w:ind w:left="720"/>
        <w:rPr>
          <w:b/>
        </w:rPr>
      </w:pPr>
      <w:r>
        <w:rPr>
          <w:b/>
        </w:rPr>
        <w:br/>
      </w:r>
    </w:p>
    <w:p w14:paraId="5800264E" w14:textId="77777777" w:rsidR="00CC7F55" w:rsidRDefault="002C5F92">
      <w:pPr>
        <w:spacing w:line="256" w:lineRule="auto"/>
      </w:pPr>
      <w:r>
        <w:rPr>
          <w:b/>
        </w:rPr>
        <w:t>Logic:</w:t>
      </w:r>
      <w:r>
        <w:rPr>
          <w:b/>
        </w:rPr>
        <w:br/>
      </w:r>
      <w:r>
        <w:t xml:space="preserve"> Summarizes total site revenue for reporting and alternative objective optimization.</w:t>
      </w:r>
    </w:p>
    <w:p w14:paraId="18CA6152" w14:textId="77777777" w:rsidR="00CC7F55" w:rsidRDefault="00CC7F55">
      <w:pPr>
        <w:rPr>
          <w:b/>
        </w:rPr>
      </w:pPr>
    </w:p>
    <w:p w14:paraId="2704383E" w14:textId="77777777" w:rsidR="00CC7F55" w:rsidRDefault="002C5F92">
      <w:pPr>
        <w:pStyle w:val="Heading3"/>
        <w:keepNext w:val="0"/>
        <w:keepLines w:val="0"/>
        <w:spacing w:before="280"/>
        <w:rPr>
          <w:b/>
          <w:color w:val="000000"/>
          <w:sz w:val="26"/>
          <w:szCs w:val="26"/>
        </w:rPr>
      </w:pPr>
      <w:bookmarkStart w:id="11" w:name="_ir949jas0259" w:colFirst="0" w:colLast="0"/>
      <w:bookmarkEnd w:id="11"/>
      <w:r>
        <w:rPr>
          <w:b/>
          <w:color w:val="000000"/>
          <w:sz w:val="26"/>
          <w:szCs w:val="26"/>
        </w:rPr>
        <w:t>Model Logic Explanation</w:t>
      </w:r>
    </w:p>
    <w:p w14:paraId="67EE77DD" w14:textId="77777777" w:rsidR="00CC7F55" w:rsidRDefault="002C5F92">
      <w:pPr>
        <w:spacing w:before="240" w:after="240"/>
      </w:pPr>
      <w:r>
        <w:t xml:space="preserve">This optimization model compares different energy-recovery systems at several mines aimed to </w:t>
      </w:r>
      <w:proofErr w:type="spellStart"/>
      <w:r>
        <w:t>maximise</w:t>
      </w:r>
      <w:proofErr w:type="spellEnd"/>
      <w:r>
        <w:t xml:space="preserve"> the total amount recoverable. Each site has a </w:t>
      </w:r>
      <w:proofErr w:type="gramStart"/>
      <w:r>
        <w:t>unique characteristics</w:t>
      </w:r>
      <w:proofErr w:type="gramEnd"/>
      <w:r>
        <w:t xml:space="preserve"> about tailings heating and water supply, however, each scenario is also different </w:t>
      </w:r>
      <w:proofErr w:type="gramStart"/>
      <w:r>
        <w:t>due</w:t>
      </w:r>
      <w:proofErr w:type="gramEnd"/>
      <w:r>
        <w:t xml:space="preserve"> their performance of efficiency and resource consumption. The objective function adds up the total power generated over all the sites and times with an expectation the model will choose those configurations that produce as much recoverable energy as possible.</w:t>
      </w:r>
    </w:p>
    <w:p w14:paraId="42795537" w14:textId="77777777" w:rsidR="00CC7F55" w:rsidRDefault="002C5F92">
      <w:pPr>
        <w:spacing w:before="240" w:after="240"/>
      </w:pPr>
      <w:r>
        <w:t xml:space="preserve">As described, the scenario-selection constraint ensures that each mine implements at most one technology which is consistent with real capital budgeting constraints. The power output </w:t>
      </w:r>
      <w:r>
        <w:lastRenderedPageBreak/>
        <w:t xml:space="preserve">(product of tailings heat potential and 2.3 system efficiency) is activated if only that case is checked. Ultimately, local water-use restrictions limit the total consumption of each site to comply with environmental </w:t>
      </w:r>
      <w:proofErr w:type="spellStart"/>
      <w:proofErr w:type="gramStart"/>
      <w:r>
        <w:t>permits.Profit</w:t>
      </w:r>
      <w:proofErr w:type="spellEnd"/>
      <w:proofErr w:type="gramEnd"/>
      <w:r>
        <w:t xml:space="preserve"> equations connect energy generation with </w:t>
      </w:r>
      <w:proofErr w:type="gramStart"/>
      <w:r>
        <w:t>market prices, and</w:t>
      </w:r>
      <w:proofErr w:type="gramEnd"/>
      <w:r>
        <w:t xml:space="preserve"> </w:t>
      </w:r>
      <w:proofErr w:type="gramStart"/>
      <w:r>
        <w:t>optimizes</w:t>
      </w:r>
      <w:proofErr w:type="gramEnd"/>
      <w:r>
        <w:t xml:space="preserve"> either the energy or the finances.</w:t>
      </w:r>
    </w:p>
    <w:p w14:paraId="43C70974" w14:textId="77777777" w:rsidR="00CC7F55" w:rsidRDefault="002C5F92">
      <w:pPr>
        <w:spacing w:before="240" w:after="240"/>
      </w:pPr>
      <w:r>
        <w:t>Overall, the model achieves a trade-off between technical feasibility and sustainability by identifying system combinations that maximize energy output without exceeding resource limits, depicting a planning tool fit for initial investment screening of mine-site energy recovery projects</w:t>
      </w:r>
    </w:p>
    <w:p w14:paraId="45C28540" w14:textId="77777777" w:rsidR="00CC7F55" w:rsidRDefault="00CC7F55">
      <w:pPr>
        <w:spacing w:before="240" w:after="240"/>
      </w:pPr>
    </w:p>
    <w:p w14:paraId="527EC77C" w14:textId="77777777" w:rsidR="00CC7F55" w:rsidRDefault="00CC7F55">
      <w:pPr>
        <w:spacing w:before="240" w:after="240"/>
        <w:rPr>
          <w:b/>
        </w:rPr>
      </w:pPr>
    </w:p>
    <w:p w14:paraId="64B7B4B7" w14:textId="77777777" w:rsidR="00CC7F55" w:rsidRDefault="00CC7F55">
      <w:pPr>
        <w:rPr>
          <w:b/>
        </w:rPr>
      </w:pPr>
    </w:p>
    <w:p w14:paraId="769CB40F" w14:textId="77777777" w:rsidR="00CC7F55" w:rsidRDefault="002C5F92">
      <w:pPr>
        <w:rPr>
          <w:b/>
          <w:sz w:val="34"/>
          <w:szCs w:val="34"/>
        </w:rPr>
      </w:pPr>
      <w:r>
        <w:rPr>
          <w:b/>
          <w:sz w:val="34"/>
          <w:szCs w:val="34"/>
        </w:rPr>
        <w:t>Q2: Data Sources and Assumptions</w:t>
      </w:r>
    </w:p>
    <w:p w14:paraId="74B48CA5" w14:textId="77777777" w:rsidR="00CC7F55" w:rsidRDefault="002C5F92">
      <w:pPr>
        <w:pStyle w:val="Heading3"/>
        <w:keepNext w:val="0"/>
        <w:keepLines w:val="0"/>
        <w:spacing w:before="280"/>
        <w:rPr>
          <w:b/>
          <w:color w:val="000000"/>
          <w:sz w:val="26"/>
          <w:szCs w:val="26"/>
        </w:rPr>
      </w:pPr>
      <w:bookmarkStart w:id="12" w:name="_ak5d1jt8opqo" w:colFirst="0" w:colLast="0"/>
      <w:bookmarkEnd w:id="12"/>
      <w:r>
        <w:rPr>
          <w:b/>
          <w:color w:val="000000"/>
          <w:sz w:val="26"/>
          <w:szCs w:val="26"/>
        </w:rPr>
        <w:t xml:space="preserve">Data Source 1: A Review </w:t>
      </w:r>
      <w:proofErr w:type="gramStart"/>
      <w:r>
        <w:rPr>
          <w:b/>
          <w:color w:val="000000"/>
          <w:sz w:val="26"/>
          <w:szCs w:val="26"/>
        </w:rPr>
        <w:t>on</w:t>
      </w:r>
      <w:proofErr w:type="gramEnd"/>
      <w:r>
        <w:rPr>
          <w:b/>
          <w:color w:val="000000"/>
          <w:sz w:val="26"/>
          <w:szCs w:val="26"/>
        </w:rPr>
        <w:t xml:space="preserve"> the Recovery of Critical Metals from Mine and Mineral Processing Tailings: Recent Advances</w:t>
      </w:r>
    </w:p>
    <w:p w14:paraId="4D84970B" w14:textId="77777777" w:rsidR="00CC7F55" w:rsidRDefault="002C5F92">
      <w:pPr>
        <w:spacing w:before="240" w:after="240"/>
      </w:pPr>
      <w:r>
        <w:t>(</w:t>
      </w:r>
      <w:hyperlink r:id="rId17">
        <w:r>
          <w:rPr>
            <w:color w:val="1155CC"/>
            <w:u w:val="single"/>
          </w:rPr>
          <w:t>A Review on the Recovery of Critical Metals from Mine and Mineral Processing Tailings: Recent Advances | Journal of Sustainable Metallurgy</w:t>
        </w:r>
      </w:hyperlink>
      <w:r>
        <w:t>)</w:t>
      </w:r>
    </w:p>
    <w:p w14:paraId="72A359A2" w14:textId="77777777" w:rsidR="00CC7F55" w:rsidRDefault="002C5F92">
      <w:pPr>
        <w:spacing w:before="240" w:after="240"/>
      </w:pPr>
      <w:r>
        <w:t xml:space="preserve">In this paper, global datasets on tailings storage facilities, residual metal content, and mineralogical and thermal properties of mine wastes are combined. From this review, I will pull data on the temperature of tailings, </w:t>
      </w:r>
      <w:proofErr w:type="gramStart"/>
      <w:r>
        <w:t>its</w:t>
      </w:r>
      <w:proofErr w:type="gramEnd"/>
      <w:r>
        <w:t xml:space="preserve"> specific heat capacity, and volumetric distribution from this review </w:t>
      </w:r>
      <w:proofErr w:type="gramStart"/>
      <w:r>
        <w:t>in order to</w:t>
      </w:r>
      <w:proofErr w:type="gramEnd"/>
      <w:r>
        <w:t xml:space="preserve"> parameterize site-specific energy potential into the model (parameter H(</w:t>
      </w:r>
      <w:proofErr w:type="spellStart"/>
      <w:proofErr w:type="gramStart"/>
      <w:r>
        <w:t>i,s</w:t>
      </w:r>
      <w:proofErr w:type="spellEnd"/>
      <w:proofErr w:type="gramEnd"/>
      <w:r>
        <w:t>)). These physical features determine the heat content available and thus the potential power that can be generated within each technology scenario. The database also allows for information on recovery technologies and process efficiencies, which determine the estimated values of E(s).</w:t>
      </w:r>
    </w:p>
    <w:p w14:paraId="7FB2977B" w14:textId="77777777" w:rsidR="00CC7F55" w:rsidRDefault="002C5F92">
      <w:pPr>
        <w:spacing w:before="240" w:after="240"/>
      </w:pPr>
      <w:r>
        <w:rPr>
          <w:noProof/>
        </w:rPr>
        <w:lastRenderedPageBreak/>
        <w:drawing>
          <wp:inline distT="114300" distB="114300" distL="114300" distR="114300" wp14:anchorId="59D82C46" wp14:editId="55275B49">
            <wp:extent cx="5943600" cy="2806700"/>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5943600" cy="2806700"/>
                    </a:xfrm>
                    <a:prstGeom prst="rect">
                      <a:avLst/>
                    </a:prstGeom>
                    <a:ln/>
                  </pic:spPr>
                </pic:pic>
              </a:graphicData>
            </a:graphic>
          </wp:inline>
        </w:drawing>
      </w:r>
    </w:p>
    <w:p w14:paraId="016A3ECD" w14:textId="77777777" w:rsidR="00CC7F55" w:rsidRDefault="00CC7F55">
      <w:pPr>
        <w:spacing w:before="240" w:after="240"/>
      </w:pPr>
    </w:p>
    <w:p w14:paraId="63F7EE5A" w14:textId="77777777" w:rsidR="00CC7F55" w:rsidRDefault="002C5F92">
      <w:pPr>
        <w:pStyle w:val="Heading3"/>
        <w:keepNext w:val="0"/>
        <w:keepLines w:val="0"/>
        <w:spacing w:before="280"/>
        <w:rPr>
          <w:b/>
          <w:color w:val="000000"/>
          <w:sz w:val="26"/>
          <w:szCs w:val="26"/>
        </w:rPr>
      </w:pPr>
      <w:bookmarkStart w:id="13" w:name="_mv5euq9u7vai" w:colFirst="0" w:colLast="0"/>
      <w:bookmarkEnd w:id="13"/>
      <w:r>
        <w:rPr>
          <w:b/>
          <w:color w:val="000000"/>
          <w:sz w:val="26"/>
          <w:szCs w:val="26"/>
        </w:rPr>
        <w:t>Data Source 2: USGS Mineral Resources Data System (MRDS) or NREL Geothermal Resource Database</w:t>
      </w:r>
    </w:p>
    <w:p w14:paraId="397FCF29" w14:textId="77777777" w:rsidR="00CC7F55" w:rsidRDefault="002C5F92">
      <w:pPr>
        <w:spacing w:before="240" w:after="240"/>
      </w:pPr>
      <w:r>
        <w:t>(</w:t>
      </w:r>
      <w:hyperlink r:id="rId19">
        <w:r>
          <w:rPr>
            <w:color w:val="1155CC"/>
            <w:u w:val="single"/>
          </w:rPr>
          <w:t>https://www.usgs.gov/centers/gggsc/science/usmin-mineral-deposit-database</w:t>
        </w:r>
      </w:hyperlink>
      <w:r>
        <w:t>)</w:t>
      </w:r>
    </w:p>
    <w:p w14:paraId="773B1C60" w14:textId="77777777" w:rsidR="00CC7F55" w:rsidRDefault="002C5F92">
      <w:pPr>
        <w:spacing w:before="240" w:after="240"/>
      </w:pPr>
      <w:r>
        <w:t>The USMIN database combines geologic and spatial properties from more than 100,000 mineral points across the United States, including deposit type, commodity, and location coordinates. I will apply this dataset to identify potential mine areas in the Western United States that I can map against thermal gradient and surface heat-flow data on related USGS layers. These data underpin the assumptions made in estimating baseline subsurface temperatures and regional geothermal potential at the site, used to validate or bound modeled tailings temperature profiles. Together with Source 1, this makes it possible to verify the physical feasibility of the thermal recovery at individual locations.</w:t>
      </w:r>
    </w:p>
    <w:p w14:paraId="31BC8FD4" w14:textId="77777777" w:rsidR="00CC7F55" w:rsidRDefault="002C5F92">
      <w:pPr>
        <w:pStyle w:val="Heading3"/>
        <w:keepNext w:val="0"/>
        <w:keepLines w:val="0"/>
        <w:spacing w:before="280"/>
      </w:pPr>
      <w:bookmarkStart w:id="14" w:name="_sewt46vrk8l4" w:colFirst="0" w:colLast="0"/>
      <w:bookmarkEnd w:id="14"/>
      <w:r>
        <w:rPr>
          <w:b/>
          <w:color w:val="000000"/>
          <w:sz w:val="26"/>
          <w:szCs w:val="26"/>
        </w:rPr>
        <w:t>Table 1. Summary of Model Input Data</w:t>
      </w:r>
    </w:p>
    <w:tbl>
      <w:tblPr>
        <w:tblStyle w:val="a1"/>
        <w:tblW w:w="9795"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55"/>
        <w:gridCol w:w="1275"/>
        <w:gridCol w:w="1185"/>
        <w:gridCol w:w="1200"/>
        <w:gridCol w:w="1410"/>
        <w:gridCol w:w="1545"/>
        <w:gridCol w:w="2025"/>
      </w:tblGrid>
      <w:tr w:rsidR="00CC7F55" w14:paraId="36FE46E8" w14:textId="77777777">
        <w:trPr>
          <w:trHeight w:val="195"/>
        </w:trPr>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9E682B9" w14:textId="77777777" w:rsidR="00CC7F55" w:rsidRDefault="002C5F92">
            <w:pPr>
              <w:spacing w:before="240" w:line="256" w:lineRule="auto"/>
              <w:rPr>
                <w:b/>
              </w:rPr>
            </w:pPr>
            <w:r>
              <w:rPr>
                <w:b/>
              </w:rPr>
              <w:t>Site (Example)</w:t>
            </w:r>
          </w:p>
        </w:tc>
        <w:tc>
          <w:tcPr>
            <w:tcW w:w="127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0B31AA5C" w14:textId="77777777" w:rsidR="00CC7F55" w:rsidRDefault="002C5F92">
            <w:pPr>
              <w:spacing w:before="240" w:line="256" w:lineRule="auto"/>
              <w:rPr>
                <w:b/>
              </w:rPr>
            </w:pPr>
            <w:r>
              <w:rPr>
                <w:b/>
              </w:rPr>
              <w:t>Tailings Temp (°C)</w:t>
            </w:r>
          </w:p>
        </w:tc>
        <w:tc>
          <w:tcPr>
            <w:tcW w:w="118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0B6132EA" w14:textId="77777777" w:rsidR="00CC7F55" w:rsidRDefault="002C5F92">
            <w:pPr>
              <w:spacing w:before="240" w:line="256" w:lineRule="auto"/>
              <w:rPr>
                <w:b/>
              </w:rPr>
            </w:pPr>
            <w:r>
              <w:rPr>
                <w:b/>
              </w:rPr>
              <w:t>Efficiency (%)</w:t>
            </w:r>
          </w:p>
        </w:tc>
        <w:tc>
          <w:tcPr>
            <w:tcW w:w="12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AEAE3EC" w14:textId="77777777" w:rsidR="00CC7F55" w:rsidRDefault="002C5F92">
            <w:pPr>
              <w:spacing w:before="240" w:line="256" w:lineRule="auto"/>
              <w:rPr>
                <w:b/>
              </w:rPr>
            </w:pPr>
            <w:r>
              <w:rPr>
                <w:b/>
              </w:rPr>
              <w:t>Water Use (m³)</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10368EF5" w14:textId="77777777" w:rsidR="00CC7F55" w:rsidRDefault="002C5F92">
            <w:pPr>
              <w:spacing w:before="240" w:line="256" w:lineRule="auto"/>
              <w:rPr>
                <w:b/>
              </w:rPr>
            </w:pPr>
            <w:r>
              <w:rPr>
                <w:b/>
              </w:rPr>
              <w:t>Water Limit (m³)</w:t>
            </w:r>
          </w:p>
        </w:tc>
        <w:tc>
          <w:tcPr>
            <w:tcW w:w="154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181705A7" w14:textId="77777777" w:rsidR="00CC7F55" w:rsidRDefault="002C5F92">
            <w:pPr>
              <w:spacing w:before="240" w:line="256" w:lineRule="auto"/>
              <w:rPr>
                <w:b/>
              </w:rPr>
            </w:pPr>
            <w:r>
              <w:rPr>
                <w:b/>
              </w:rPr>
              <w:t>Power Price ($/MWh)</w:t>
            </w:r>
          </w:p>
        </w:tc>
        <w:tc>
          <w:tcPr>
            <w:tcW w:w="202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4640976F" w14:textId="77777777" w:rsidR="00CC7F55" w:rsidRDefault="002C5F92">
            <w:pPr>
              <w:spacing w:before="240" w:line="256" w:lineRule="auto"/>
              <w:rPr>
                <w:b/>
              </w:rPr>
            </w:pPr>
            <w:r>
              <w:rPr>
                <w:b/>
              </w:rPr>
              <w:t>Data Source</w:t>
            </w:r>
          </w:p>
        </w:tc>
      </w:tr>
      <w:tr w:rsidR="00CC7F55" w14:paraId="5A663BB5" w14:textId="77777777">
        <w:trPr>
          <w:trHeight w:val="195"/>
        </w:trPr>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53F2F3FE" w14:textId="77777777" w:rsidR="00CC7F55" w:rsidRDefault="002C5F92">
            <w:pPr>
              <w:spacing w:before="240" w:line="256" w:lineRule="auto"/>
            </w:pPr>
            <w:r>
              <w:t>Site 1</w:t>
            </w:r>
          </w:p>
        </w:tc>
        <w:tc>
          <w:tcPr>
            <w:tcW w:w="127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A873C94" w14:textId="77777777" w:rsidR="00CC7F55" w:rsidRDefault="002C5F92">
            <w:pPr>
              <w:spacing w:before="240" w:line="256" w:lineRule="auto"/>
            </w:pPr>
            <w:r>
              <w:t>80</w:t>
            </w:r>
          </w:p>
        </w:tc>
        <w:tc>
          <w:tcPr>
            <w:tcW w:w="118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12BC36C" w14:textId="77777777" w:rsidR="00CC7F55" w:rsidRDefault="002C5F92">
            <w:pPr>
              <w:spacing w:before="240" w:line="256" w:lineRule="auto"/>
            </w:pPr>
            <w:r>
              <w:t>85</w:t>
            </w:r>
          </w:p>
        </w:tc>
        <w:tc>
          <w:tcPr>
            <w:tcW w:w="12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26F4CEEB" w14:textId="77777777" w:rsidR="00CC7F55" w:rsidRDefault="002C5F92">
            <w:pPr>
              <w:spacing w:before="240" w:line="256" w:lineRule="auto"/>
            </w:pPr>
            <w:r>
              <w:t>100</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18B2C831" w14:textId="77777777" w:rsidR="00CC7F55" w:rsidRDefault="002C5F92">
            <w:pPr>
              <w:spacing w:before="240" w:line="256" w:lineRule="auto"/>
            </w:pPr>
            <w:r>
              <w:t>110</w:t>
            </w:r>
          </w:p>
        </w:tc>
        <w:tc>
          <w:tcPr>
            <w:tcW w:w="154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1DB6C9D5" w14:textId="77777777" w:rsidR="00CC7F55" w:rsidRDefault="002C5F92">
            <w:pPr>
              <w:spacing w:before="240" w:line="256" w:lineRule="auto"/>
            </w:pPr>
            <w:r>
              <w:t>30</w:t>
            </w:r>
          </w:p>
        </w:tc>
        <w:tc>
          <w:tcPr>
            <w:tcW w:w="202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0869B58B" w14:textId="77777777" w:rsidR="00CC7F55" w:rsidRDefault="002C5F92">
            <w:pPr>
              <w:spacing w:before="240" w:line="256" w:lineRule="auto"/>
            </w:pPr>
            <w:r>
              <w:t>Review (2025)</w:t>
            </w:r>
          </w:p>
        </w:tc>
      </w:tr>
      <w:tr w:rsidR="00CC7F55" w14:paraId="31902892" w14:textId="77777777">
        <w:trPr>
          <w:trHeight w:val="195"/>
        </w:trPr>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1F0D8106" w14:textId="77777777" w:rsidR="00CC7F55" w:rsidRDefault="002C5F92">
            <w:pPr>
              <w:spacing w:before="240" w:line="256" w:lineRule="auto"/>
            </w:pPr>
            <w:r>
              <w:t>Site 2</w:t>
            </w:r>
          </w:p>
        </w:tc>
        <w:tc>
          <w:tcPr>
            <w:tcW w:w="127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641B76BA" w14:textId="77777777" w:rsidR="00CC7F55" w:rsidRDefault="002C5F92">
            <w:pPr>
              <w:spacing w:before="240" w:line="256" w:lineRule="auto"/>
            </w:pPr>
            <w:r>
              <w:t>85</w:t>
            </w:r>
          </w:p>
        </w:tc>
        <w:tc>
          <w:tcPr>
            <w:tcW w:w="118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0CA6BC94" w14:textId="77777777" w:rsidR="00CC7F55" w:rsidRDefault="002C5F92">
            <w:pPr>
              <w:spacing w:before="240" w:line="256" w:lineRule="auto"/>
            </w:pPr>
            <w:r>
              <w:t>80</w:t>
            </w:r>
          </w:p>
        </w:tc>
        <w:tc>
          <w:tcPr>
            <w:tcW w:w="12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739D28AB" w14:textId="77777777" w:rsidR="00CC7F55" w:rsidRDefault="002C5F92">
            <w:pPr>
              <w:spacing w:before="240" w:line="256" w:lineRule="auto"/>
            </w:pPr>
            <w:r>
              <w:t>90</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6F2E1D15" w14:textId="77777777" w:rsidR="00CC7F55" w:rsidRDefault="002C5F92">
            <w:pPr>
              <w:spacing w:before="240" w:line="256" w:lineRule="auto"/>
            </w:pPr>
            <w:r>
              <w:t>100</w:t>
            </w:r>
          </w:p>
        </w:tc>
        <w:tc>
          <w:tcPr>
            <w:tcW w:w="154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571E9D4C" w14:textId="77777777" w:rsidR="00CC7F55" w:rsidRDefault="002C5F92">
            <w:pPr>
              <w:spacing w:before="240" w:line="256" w:lineRule="auto"/>
            </w:pPr>
            <w:r>
              <w:t>30</w:t>
            </w:r>
          </w:p>
        </w:tc>
        <w:tc>
          <w:tcPr>
            <w:tcW w:w="202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4C855163" w14:textId="77777777" w:rsidR="00CC7F55" w:rsidRDefault="002C5F92">
            <w:pPr>
              <w:spacing w:before="240" w:line="256" w:lineRule="auto"/>
            </w:pPr>
            <w:r>
              <w:t>USMIN + Review</w:t>
            </w:r>
          </w:p>
        </w:tc>
      </w:tr>
      <w:tr w:rsidR="00CC7F55" w14:paraId="6800BA73" w14:textId="77777777">
        <w:trPr>
          <w:trHeight w:val="195"/>
        </w:trPr>
        <w:tc>
          <w:tcPr>
            <w:tcW w:w="115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02712835" w14:textId="77777777" w:rsidR="00CC7F55" w:rsidRDefault="002C5F92">
            <w:pPr>
              <w:spacing w:before="240" w:line="256" w:lineRule="auto"/>
            </w:pPr>
            <w:r>
              <w:t>Site 3</w:t>
            </w:r>
          </w:p>
        </w:tc>
        <w:tc>
          <w:tcPr>
            <w:tcW w:w="127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4A203173" w14:textId="77777777" w:rsidR="00CC7F55" w:rsidRDefault="002C5F92">
            <w:pPr>
              <w:spacing w:before="240" w:line="256" w:lineRule="auto"/>
            </w:pPr>
            <w:r>
              <w:t>90</w:t>
            </w:r>
          </w:p>
        </w:tc>
        <w:tc>
          <w:tcPr>
            <w:tcW w:w="118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5015EB76" w14:textId="77777777" w:rsidR="00CC7F55" w:rsidRDefault="002C5F92">
            <w:pPr>
              <w:spacing w:before="240" w:line="256" w:lineRule="auto"/>
            </w:pPr>
            <w:r>
              <w:t>80</w:t>
            </w:r>
          </w:p>
        </w:tc>
        <w:tc>
          <w:tcPr>
            <w:tcW w:w="12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73F6E0CF" w14:textId="77777777" w:rsidR="00CC7F55" w:rsidRDefault="002C5F92">
            <w:pPr>
              <w:spacing w:before="240" w:line="256" w:lineRule="auto"/>
            </w:pPr>
            <w:r>
              <w:t>95</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611B6852" w14:textId="77777777" w:rsidR="00CC7F55" w:rsidRDefault="002C5F92">
            <w:pPr>
              <w:spacing w:before="240" w:line="256" w:lineRule="auto"/>
            </w:pPr>
            <w:r>
              <w:t>100</w:t>
            </w:r>
          </w:p>
        </w:tc>
        <w:tc>
          <w:tcPr>
            <w:tcW w:w="154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737E0D31" w14:textId="77777777" w:rsidR="00CC7F55" w:rsidRDefault="002C5F92">
            <w:pPr>
              <w:spacing w:before="240" w:line="256" w:lineRule="auto"/>
            </w:pPr>
            <w:r>
              <w:t>30</w:t>
            </w:r>
          </w:p>
        </w:tc>
        <w:tc>
          <w:tcPr>
            <w:tcW w:w="202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45CD1739" w14:textId="77777777" w:rsidR="00CC7F55" w:rsidRDefault="002C5F92">
            <w:pPr>
              <w:spacing w:before="240" w:line="256" w:lineRule="auto"/>
            </w:pPr>
            <w:r>
              <w:t>USMIN + Review</w:t>
            </w:r>
          </w:p>
        </w:tc>
      </w:tr>
    </w:tbl>
    <w:p w14:paraId="7EFDB852" w14:textId="77777777" w:rsidR="00CC7F55" w:rsidRDefault="00CC7F55">
      <w:pPr>
        <w:spacing w:before="240" w:after="240"/>
      </w:pPr>
    </w:p>
    <w:p w14:paraId="66952D3B" w14:textId="77777777" w:rsidR="00CC7F55" w:rsidRDefault="002C5F92">
      <w:pPr>
        <w:rPr>
          <w:b/>
          <w:color w:val="000000"/>
          <w:sz w:val="26"/>
          <w:szCs w:val="26"/>
        </w:rPr>
      </w:pPr>
      <w:r>
        <w:rPr>
          <w:b/>
          <w:color w:val="000000"/>
          <w:sz w:val="26"/>
          <w:szCs w:val="26"/>
        </w:rPr>
        <w:lastRenderedPageBreak/>
        <w:t>Model Assumptions</w:t>
      </w:r>
    </w:p>
    <w:p w14:paraId="03F50BA0" w14:textId="77777777" w:rsidR="00CC7F55" w:rsidRDefault="002C5F92">
      <w:pPr>
        <w:numPr>
          <w:ilvl w:val="0"/>
          <w:numId w:val="3"/>
        </w:numPr>
        <w:spacing w:before="240" w:line="240" w:lineRule="auto"/>
      </w:pPr>
      <w:r>
        <w:rPr>
          <w:b/>
        </w:rPr>
        <w:t>Fixed Electricity Price:</w:t>
      </w:r>
      <w:r>
        <w:t xml:space="preserve"> Electricity price is fixed at $30/MWh, following the average 2024 Western-U.S. wholesale market values (</w:t>
      </w:r>
      <w:hyperlink r:id="rId20" w:anchor=":~:text=The%20projected%20wholesale,be%20extremely%20volatile.">
        <w:r>
          <w:rPr>
            <w:color w:val="1155CC"/>
            <w:u w:val="single"/>
          </w:rPr>
          <w:t>EIA 2024</w:t>
        </w:r>
      </w:hyperlink>
      <w:r>
        <w:t>).</w:t>
      </w:r>
    </w:p>
    <w:p w14:paraId="6ACBAEC5" w14:textId="77777777" w:rsidR="00CC7F55" w:rsidRDefault="002C5F92">
      <w:pPr>
        <w:numPr>
          <w:ilvl w:val="0"/>
          <w:numId w:val="3"/>
        </w:numPr>
        <w:spacing w:line="240" w:lineRule="auto"/>
      </w:pPr>
      <w:r>
        <w:rPr>
          <w:b/>
        </w:rPr>
        <w:t>Single Scenario at a Site:</w:t>
      </w:r>
      <w:r>
        <w:t xml:space="preserve"> At each mine only one technology configuration because of capital cost and phasing restrictions.</w:t>
      </w:r>
    </w:p>
    <w:p w14:paraId="22FCBDDE" w14:textId="77777777" w:rsidR="00CC7F55" w:rsidRDefault="002C5F92">
      <w:pPr>
        <w:numPr>
          <w:ilvl w:val="0"/>
          <w:numId w:val="3"/>
        </w:numPr>
        <w:spacing w:line="240" w:lineRule="auto"/>
      </w:pPr>
      <w:r>
        <w:rPr>
          <w:b/>
        </w:rPr>
        <w:t>Thermal Steady-State Profile:</w:t>
      </w:r>
      <w:r>
        <w:t xml:space="preserve"> The tailings temperature and volume remain constant between time steps as an average daily operation.</w:t>
      </w:r>
    </w:p>
    <w:p w14:paraId="550CC2B1" w14:textId="77777777" w:rsidR="00CC7F55" w:rsidRDefault="002C5F92">
      <w:pPr>
        <w:numPr>
          <w:ilvl w:val="0"/>
          <w:numId w:val="3"/>
        </w:numPr>
        <w:spacing w:line="240" w:lineRule="auto"/>
      </w:pPr>
      <w:r>
        <w:rPr>
          <w:b/>
        </w:rPr>
        <w:t>Water-Use Limit:</w:t>
      </w:r>
      <w:r>
        <w:t xml:space="preserve"> Each site must remain below its water-use permit threshold (100–110 m³), based on typical </w:t>
      </w:r>
      <w:hyperlink r:id="rId21">
        <w:r>
          <w:rPr>
            <w:color w:val="1155CC"/>
            <w:u w:val="single"/>
          </w:rPr>
          <w:t>US EPA</w:t>
        </w:r>
      </w:hyperlink>
      <w:r>
        <w:t xml:space="preserve"> mine-site limits.</w:t>
      </w:r>
    </w:p>
    <w:p w14:paraId="6595E05B" w14:textId="77777777" w:rsidR="00CC7F55" w:rsidRDefault="002C5F92">
      <w:pPr>
        <w:numPr>
          <w:ilvl w:val="0"/>
          <w:numId w:val="3"/>
        </w:numPr>
        <w:spacing w:line="240" w:lineRule="auto"/>
      </w:pPr>
      <w:r>
        <w:rPr>
          <w:b/>
        </w:rPr>
        <w:t>Technology Efficiency:</w:t>
      </w:r>
      <w:r>
        <w:t xml:space="preserve"> Conversion efficiency factors (0.80–0.85) are taken from the ORC and low-enthalpy geothermal system averages mentioned in the Review paper.</w:t>
      </w:r>
    </w:p>
    <w:p w14:paraId="41CCFE04" w14:textId="77777777" w:rsidR="00CC7F55" w:rsidRDefault="002C5F92">
      <w:pPr>
        <w:numPr>
          <w:ilvl w:val="0"/>
          <w:numId w:val="3"/>
        </w:numPr>
        <w:spacing w:after="240" w:line="240" w:lineRule="auto"/>
      </w:pPr>
      <w:r>
        <w:rPr>
          <w:b/>
        </w:rPr>
        <w:t>Homogeneous Heat Distribution:</w:t>
      </w:r>
      <w:r>
        <w:t xml:space="preserve"> The whole tailings deposit is considered as thermally homogeneous, toting vertical heat loss gradients for convenience reasons.</w:t>
      </w:r>
    </w:p>
    <w:sectPr w:rsidR="00CC7F55">
      <w:headerReference w:type="default" r:id="rId22"/>
      <w:headerReference w:type="first" r:id="rId23"/>
      <w:footerReference w:type="first" r:id="rId2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D4A41" w14:textId="77777777" w:rsidR="002C5F92" w:rsidRDefault="002C5F92">
      <w:pPr>
        <w:spacing w:line="240" w:lineRule="auto"/>
      </w:pPr>
      <w:r>
        <w:separator/>
      </w:r>
    </w:p>
  </w:endnote>
  <w:endnote w:type="continuationSeparator" w:id="0">
    <w:p w14:paraId="2D77C756" w14:textId="77777777" w:rsidR="002C5F92" w:rsidRDefault="002C5F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401DF" w14:textId="77777777" w:rsidR="00CC7F55" w:rsidRDefault="00CC7F5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8215A" w14:textId="77777777" w:rsidR="002C5F92" w:rsidRDefault="002C5F92">
      <w:pPr>
        <w:spacing w:line="240" w:lineRule="auto"/>
      </w:pPr>
      <w:r>
        <w:separator/>
      </w:r>
    </w:p>
  </w:footnote>
  <w:footnote w:type="continuationSeparator" w:id="0">
    <w:p w14:paraId="404A1183" w14:textId="77777777" w:rsidR="002C5F92" w:rsidRDefault="002C5F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24B03" w14:textId="77777777" w:rsidR="00CC7F55" w:rsidRDefault="00CC7F55">
    <w:pPr>
      <w:rPr>
        <w:b/>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DE77A" w14:textId="77777777" w:rsidR="00CC7F55" w:rsidRDefault="002C5F92">
    <w:pPr>
      <w:rPr>
        <w:b/>
        <w:sz w:val="28"/>
        <w:szCs w:val="28"/>
      </w:rPr>
    </w:pPr>
    <w:r>
      <w:rPr>
        <w:b/>
        <w:sz w:val="28"/>
        <w:szCs w:val="28"/>
      </w:rPr>
      <w:t>EBGN 645: Homework 1, Part B</w:t>
    </w:r>
  </w:p>
  <w:p w14:paraId="50360045" w14:textId="77777777" w:rsidR="00CC7F55" w:rsidRDefault="002C5F92">
    <w:pPr>
      <w:rPr>
        <w:sz w:val="18"/>
        <w:szCs w:val="18"/>
      </w:rPr>
    </w:pPr>
    <w:r>
      <w:rPr>
        <w:b/>
        <w:sz w:val="24"/>
        <w:szCs w:val="24"/>
      </w:rPr>
      <w:t>Sravan Lavudya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4B5E"/>
    <w:multiLevelType w:val="multilevel"/>
    <w:tmpl w:val="4D120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272A22"/>
    <w:multiLevelType w:val="multilevel"/>
    <w:tmpl w:val="3A485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E6728C"/>
    <w:multiLevelType w:val="multilevel"/>
    <w:tmpl w:val="825CAD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5F4818"/>
    <w:multiLevelType w:val="multilevel"/>
    <w:tmpl w:val="2F54F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7D77931"/>
    <w:multiLevelType w:val="multilevel"/>
    <w:tmpl w:val="496E6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99130725">
    <w:abstractNumId w:val="1"/>
  </w:num>
  <w:num w:numId="2" w16cid:durableId="2130317746">
    <w:abstractNumId w:val="0"/>
  </w:num>
  <w:num w:numId="3" w16cid:durableId="1539392107">
    <w:abstractNumId w:val="2"/>
  </w:num>
  <w:num w:numId="4" w16cid:durableId="543445954">
    <w:abstractNumId w:val="4"/>
  </w:num>
  <w:num w:numId="5" w16cid:durableId="10780896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F55"/>
    <w:rsid w:val="002C5F92"/>
    <w:rsid w:val="00CC7F55"/>
    <w:rsid w:val="00E7496A"/>
    <w:rsid w:val="00F94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786D5"/>
  <w15:docId w15:val="{8E31C497-7262-4B58-A544-12A1F65B7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image" Target="media/image7.gif"/><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epa.gov/npdes/permit-limits-watershed-based-permitting" TargetMode="External"/><Relationship Id="rId7" Type="http://schemas.openxmlformats.org/officeDocument/2006/relationships/image" Target="media/image1.gif"/><Relationship Id="rId12" Type="http://schemas.openxmlformats.org/officeDocument/2006/relationships/image" Target="media/image6.gif"/><Relationship Id="rId17" Type="http://schemas.openxmlformats.org/officeDocument/2006/relationships/hyperlink" Target="https://link.springer.com/article/10.1007/s40831-025-01126-y"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gif"/><Relationship Id="rId20" Type="http://schemas.openxmlformats.org/officeDocument/2006/relationships/hyperlink" Target="https://enerknol.com/average-2024-u-s-wholesale-electricity-prices-projected-to-be-similar-to-2023-levels-ei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gif"/><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header" Target="header2.xml"/><Relationship Id="rId10" Type="http://schemas.openxmlformats.org/officeDocument/2006/relationships/image" Target="media/image4.gif"/><Relationship Id="rId19" Type="http://schemas.openxmlformats.org/officeDocument/2006/relationships/hyperlink" Target="https://www.usgs.gov/centers/gggsc/science/usmin-mineral-deposit-database" TargetMode="Externa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1134</Words>
  <Characters>6465</Characters>
  <Application>Microsoft Office Word</Application>
  <DocSecurity>0</DocSecurity>
  <Lines>53</Lines>
  <Paragraphs>15</Paragraphs>
  <ScaleCrop>false</ScaleCrop>
  <Company/>
  <LinksUpToDate>false</LinksUpToDate>
  <CharactersWithSpaces>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Sravan Lavudya</dc:creator>
  <cp:lastModifiedBy>Sravan Lavudya</cp:lastModifiedBy>
  <cp:revision>2</cp:revision>
  <dcterms:created xsi:type="dcterms:W3CDTF">2025-10-22T07:51:00Z</dcterms:created>
  <dcterms:modified xsi:type="dcterms:W3CDTF">2025-10-22T07:51:00Z</dcterms:modified>
</cp:coreProperties>
</file>