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4F46E5"/>
          <w:sz w:val="64"/>
          <w:szCs w:val="64"/>
        </w:rPr>
        <w:t xml:space="preserve">LuminTrack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Application Walkthrough &amp; Open Questions</w:t>
      </w:r>
    </w:p>
    <w:p>
      <w:pPr>
        <w:spacing w:after="40"/>
        <w:jc w:val="center"/>
      </w:pPr>
      <w:r>
        <w:rPr>
          <w:color w:val="6B7280"/>
          <w:sz w:val="24"/>
          <w:szCs w:val="24"/>
        </w:rPr>
        <w:t xml:space="preserve">Internal recruitment &amp; bench-sales tracking dashboard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Prepared June 22, 2026</w:t>
      </w:r>
    </w:p>
    <w:p>
      <w:pPr>
        <w:pStyle w:val="Heading1"/>
      </w:pPr>
      <w:r>
        <w:t xml:space="preserve">What LuminTrack does</w:t>
      </w:r>
    </w:p>
    <w:p>
      <w:pPr>
        <w:spacing w:after="120"/>
      </w:pPr>
      <w:r>
        <w:t xml:space="preserve">LuminTrack replaces the manual Excel/Word process for tracking recruitment. It follows a candidate from an open requirement all the way through submission, interviews, offer, and an active placement — keeping every status change, note, rate, and document in one auditable system, and rolling it all up into dashboards and a weekly performance scorecard.</w:t>
      </w:r>
    </w:p>
    <w:p>
      <w:pPr>
        <w:spacing w:after="120"/>
      </w:pPr>
      <w:r>
        <w:t xml:space="preserve">At a glance, the application covers: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Jobs / requirements — including bulk-imported Randstad iLabor requisitions.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Vendor Portal planning layer — scope a requirement's commercial terms before submitting.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Candidates — profiles, a résumé library, and compliance documents with expiry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Bench — the consultants we are actively marketing right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Submissions — submit a candidate to a job and move them through the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Interviews — every scheduled round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Placements — consultants currently working, with bill/pay rates and margin.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— analytics plus a monthly per-recruiter performance scorecard.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&amp; access — admins, team leads, and recruiters, with rate visibility controls.</w:t>
      </w:r>
    </w:p>
    <w:p>
      <w:pPr>
        <w:spacing w:after="120"/>
      </w:pPr>
      <w:r>
        <w:rPr>
          <w:i/>
          <w:iCs/>
          <w:color w:val="6B7280"/>
        </w:rPr>
        <w:t xml:space="preserve">The walkthrough below follows the real flow a recruiter and manager use, screen by screen.</w:t>
      </w:r>
    </w:p>
    <w:p>
      <w:r>
        <w:br w:type="page"/>
      </w:r>
    </w:p>
    <w:p>
      <w:pPr>
        <w:pStyle w:val="Heading1"/>
      </w:pPr>
      <w:r>
        <w:t xml:space="preserve">How the process flows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 xml:space="preserve">Dashboard — the command center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Dashboard — the command center" descr="Dashboard — the command center" title="Dashboard — the command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The landing screen. A “Needs attention” panel surfaces expiring documents and placements with rates still pending; KPI cards summarise active jobs, submissions, interviews, and outcomes; charts break jobs down by status and source. Admins see an org-wide view; recruiters default to “My work.”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 xml:space="preserve">Jobs / Requirements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Jobs / Requirements" descr="Jobs / Requirements" title="Jobs / Requir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Every open requirement we are working, manual or imported from the Randstad iLabor vendor portal. The list is filterable, sortable, and paginated, with display IDs (JOB-xxxxx / REQ-xxxxxx).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 xml:space="preserve">Job detail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Job detail" descr="Job detail" title="Job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A single requirement: client, vendor, source, rates, assigned recruiters, the job description, and the table of candidates already submitted. Recruiters submit a candidate directly from here.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4. </w:t>
      </w:r>
      <w:r>
        <w:rPr>
          <w:b/>
          <w:bCs/>
          <w:sz w:val="26"/>
          <w:szCs w:val="26"/>
        </w:rPr>
        <w:t xml:space="preserve">Vendor Portal Requirements (planning layer)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Vendor Portal Requirements (planning layer)" descr="Vendor Portal Requirements (planning layer)" title="Vendor Portal Requirements (planning lay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A pre-submission planning step. A team lead scopes a requirement's commercial terms; a recruiter later “moves it to a submission,” which pre-fills and creates the real submission. These plans are intentionally kept out of submission analytics.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5. </w:t>
      </w:r>
      <w:r>
        <w:rPr>
          <w:b/>
          <w:bCs/>
          <w:sz w:val="26"/>
          <w:szCs w:val="26"/>
        </w:rPr>
        <w:t xml:space="preserve">Candidates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Candidates" descr="Candidates" title="Candid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The full candidate pool — everyone we know, regardless of whether they are currently being marketed. Searchable, with status, skills, source, and last-contacted tracking.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6. </w:t>
      </w:r>
      <w:r>
        <w:rPr>
          <w:b/>
          <w:bCs/>
          <w:sz w:val="26"/>
          <w:szCs w:val="26"/>
        </w:rPr>
        <w:t xml:space="preserve">Candidate detail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Candidate detail" descr="Candidate detail" title="Candidate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One candidate's profile: a résumé library (multiple labelled Google Drive résumés), compliance documents with expiry colour-coding, submission history grouped by job, and an interview history.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7. </w:t>
      </w:r>
      <w:r>
        <w:rPr>
          <w:b/>
          <w:bCs/>
          <w:sz w:val="26"/>
          <w:szCs w:val="26"/>
        </w:rPr>
        <w:t xml:space="preserve">Bench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Bench" descr="Bench" title="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The consultants we are actively marketing right now, grouped by priority. A candidate is “on the bench” while their marketing status is active; they roll off automatically when placed.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8. </w:t>
      </w:r>
      <w:r>
        <w:rPr>
          <w:b/>
          <w:bCs/>
          <w:sz w:val="26"/>
          <w:szCs w:val="26"/>
        </w:rPr>
        <w:t xml:space="preserve">New submission — the core action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New submission — the core action" descr="New submission — the core action" title="New submission — the core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Submitting a candidate to a job. One form drives all three entry points (from a job, from a candidate, or globally). It captures the résumé used, engagement, and the rate chain — Pay, Bill, Client, and the headline Candidate rate.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9. </w:t>
      </w:r>
      <w:r>
        <w:rPr>
          <w:b/>
          <w:bCs/>
          <w:sz w:val="26"/>
          <w:szCs w:val="26"/>
        </w:rPr>
        <w:t xml:space="preserve">Rate guardrail (built-in check)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Rate guardrail (built-in check)" descr="Rate guardrail (built-in check)" title="Rate guardrail (built-in chec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As rates are typed, the form warns — without blocking — when they break the expected chain: pay above bill (negative margin), or candidate/bill above the client rate. This is the guardrail tied to Question 4 below.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10. </w:t>
      </w:r>
      <w:r>
        <w:rPr>
          <w:b/>
          <w:bCs/>
          <w:sz w:val="26"/>
          <w:szCs w:val="26"/>
        </w:rPr>
        <w:t xml:space="preserve">Submission detail &amp; pipeline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Submission detail &amp; pipeline" descr="Submission detail &amp; pipeline" title="Submission detail &amp;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The submission's status pipeline (Submitted → Resume Picked → Screening → Client Interview → Decision → Offer Released → Offer Accepted → Joined), an update-status form that captures the real-world event date and a reason, the résumé used, interview rounds, notes, and a full activity timeline.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11. </w:t>
      </w:r>
      <w:r>
        <w:rPr>
          <w:b/>
          <w:bCs/>
          <w:sz w:val="26"/>
          <w:szCs w:val="26"/>
        </w:rPr>
        <w:t xml:space="preserve">Interviews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Interviews" descr="Interviews" title="Inter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A read-only roll-up of every scheduled interview round across all submissions, linking back to the candidate and submission.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12. </w:t>
      </w:r>
      <w:r>
        <w:rPr>
          <w:b/>
          <w:bCs/>
          <w:sz w:val="26"/>
          <w:szCs w:val="26"/>
        </w:rPr>
        <w:t xml:space="preserve">Placements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Placements" descr="Placements" title="Plac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When a submission is marked “Joined,” a placement is created automatically. This list shows everyone currently working an assignment, with a summary strip (active count, weekly margin, ending soon).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13. </w:t>
      </w:r>
      <w:r>
        <w:rPr>
          <w:b/>
          <w:bCs/>
          <w:sz w:val="26"/>
          <w:szCs w:val="26"/>
        </w:rPr>
        <w:t xml:space="preserve">Placement detail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Placement detail" descr="Placement detail" title="Placement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A single placement: start/end, bill &amp; pay rates and margin, client rate, extensions, end-of-placement handling with an optional replacement, and a compliance banner for expiring documents. Rates are visible only to admins and the recruiter of record.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14. </w:t>
      </w:r>
      <w:r>
        <w:rPr>
          <w:b/>
          <w:bCs/>
          <w:sz w:val="26"/>
          <w:szCs w:val="26"/>
        </w:rPr>
        <w:t xml:space="preserve">Reports — Analytics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Reports — Analytics" descr="Reports — Analytics" title="Reports — 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Management analytics across jobs, submissions, recruiters, and outcomes — funnel velocity, time-to-fill, aging, and revenue/margin projections.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15. </w:t>
      </w:r>
      <w:r>
        <w:rPr>
          <w:b/>
          <w:bCs/>
          <w:sz w:val="26"/>
          <w:szCs w:val="26"/>
        </w:rPr>
        <w:t xml:space="preserve">Monthly Performance scorecard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Monthly Performance scorecard" descr="Monthly Performance scorecard" title="Monthly Performance score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A per-recruiter weekly grid for a chosen month: submissions, interviews, new vendors, closures, and back-outs, with team and grand totals. “New vendors” is the metric in Question 5 below.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16. </w:t>
      </w:r>
      <w:r>
        <w:rPr>
          <w:b/>
          <w:bCs/>
          <w:sz w:val="26"/>
          <w:szCs w:val="26"/>
        </w:rPr>
        <w:t xml:space="preserve">Recruiters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Recruiters" descr="Recruiters" title="Recrui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Per-recruiter performance — submissions, interviews, selections, and joins — with drill-down into each recruiter's pipeline.</w:t>
      </w:r>
    </w:p>
    <w:p>
      <w:pPr>
        <w:keepNext/>
        <w:spacing w:after="60" w:before="220"/>
      </w:pPr>
      <w:r>
        <w:rPr>
          <w:b/>
          <w:bCs/>
          <w:color w:val="4F46E5"/>
          <w:sz w:val="26"/>
          <w:szCs w:val="26"/>
        </w:rPr>
        <w:t xml:space="preserve">17. </w:t>
      </w:r>
      <w:r>
        <w:rPr>
          <w:b/>
          <w:bCs/>
          <w:sz w:val="26"/>
          <w:szCs w:val="26"/>
        </w:rPr>
        <w:t xml:space="preserve">Settings</w:t>
      </w:r>
    </w:p>
    <w:p>
      <w:pPr>
        <w:pBdr>
          <w:top w:val="single" w:color="D9DCE3" w:sz="4" w:space="4"/>
          <w:bottom w:val="single" w:color="D9DCE3" w:sz="4" w:space="4"/>
          <w:left w:val="single" w:color="D9DCE3" w:sz="4" w:space="4"/>
          <w:right w:val="single" w:color="D9DCE3" w:sz="4" w:space="4"/>
        </w:pBdr>
        <w:spacing w:after="6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Settings" descr="Settings" title="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Reference data — sources, clients, vendors, and team members. Editable by admins; recruiters see it read-only. Admin tools (data export, audit log) live here too.</w:t>
      </w:r>
    </w:p>
    <w:p>
      <w:r>
        <w:br w:type="page"/>
      </w:r>
    </w:p>
    <w:p>
      <w:pPr>
        <w:pStyle w:val="Heading1"/>
      </w:pPr>
      <w:r>
        <w:t xml:space="preserve">Questions to clarify</w:t>
      </w:r>
    </w:p>
    <w:p>
      <w:pPr>
        <w:spacing w:after="120"/>
      </w:pPr>
      <w:r>
        <w:rPr>
          <w:color w:val="6B7280"/>
        </w:rPr>
        <w:t xml:space="preserve">A few things we modelled on our best understanding and would like you to confirm or correct. Nothing here blocks the demo — but your answers will lock down the rate model and the scorecard.</w:t>
      </w:r>
    </w:p>
    <w:p>
      <w:pPr>
        <w:pStyle w:val="Heading2"/>
      </w:pPr>
      <w:r>
        <w:t xml:space="preserve">Rates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Rate chain — Do we have the three rates right? We model Client rate (what the end client releases) ≥ Bill / Vendor rate (what the vendor releases to us) ≥ Pay rate (what we pay the consultant). Is that correct, and is there ever a fourth party or extra markup?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Candidate rate vs Pay rate — Today there is a legacy “Candidate rate” (a single headline number) AND a separate “Pay rate.” Are these the same thing? Can we retire/merge “Candidate rate” into “Pay rate,” or do they mean different things to you?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Client rate disclosure — Is the end-client rate usually known to us, or is it often hidden by the vendor? (This decides whether we can check margins against it.)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Guardrail strictness — We now show a non-blocking warning when pay is above bill, or candidate/bill is above the client rate (screen 9). Should this stay a soft warning, or become a hard block that requires a written override reason?</w:t>
      </w:r>
    </w:p>
    <w:p>
      <w:pPr>
        <w:pStyle w:val="Heading2"/>
      </w:pPr>
      <w:r>
        <w:t xml:space="preserve">Metrics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“New vendors” definition — We count a new vendor the first time anyone at the company submits to that vendor, credited to whoever made that first submission (company-wide, not per-recruiter). Is that the intended meaning?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Missing scorecard metrics — Are there weekly numbers you track that the scorecard does not yet show (for example offers, no-shows, redeployments)?</w:t>
      </w:r>
    </w:p>
    <w:p>
      <w:pPr>
        <w:pStyle w:val="Heading2"/>
      </w:pPr>
      <w:r>
        <w:t xml:space="preserve">Process &amp; definitions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Candidates vs Bench vs Placements — We treat Candidates = everyone, Bench = those actively being marketed, Placements = those currently working. Does that match how you think about them?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Vendor Portal planning layer — A team lead scopes a requirement's terms, then a recruiter moves it to a submission (screen 4). Does this match how your team plans before submitting?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Two active placements — Can one consultant be on two active placements at the same time? (We assumed yes — please confirm so the analytics handle it.)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Documents &amp; compliance — We track candidate documents with a 30-day expiry alert. Are there specific document types or compliance rules we should enforce or add?</w:t>
      </w:r>
    </w:p>
    <w:p>
      <w:pPr>
        <w:pStyle w:val="Heading2"/>
      </w:pPr>
      <w:r>
        <w:t xml:space="preserve">Access &amp; visibility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Settings access — Sources, clients, vendors, and users are admin-only to edit; recruiters see them read-only. Is that the right split?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Margin visibility — Bill, pay, and margin are visible only to admins and the submitting recruiter. Should team leads also see margins for their whole team?</w:t>
      </w:r>
    </w:p>
    <w:p>
      <w:pPr>
        <w:spacing w:before="300"/>
      </w:pPr>
      <w:r>
        <w:rPr>
          <w:i/>
          <w:iCs/>
          <w:color w:val="6B7280"/>
        </w:rPr>
        <w:t xml:space="preserve">Anything we got wrong, just tell us and we'll adjust before or right after the demo.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6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CE3" w:sz="6" w:space="4"/>
      </w:pBdr>
      <w:spacing w:after="160" w:before="280"/>
      <w:outlineLvl w:val="0"/>
    </w:pPr>
    <w:rPr>
      <w:rFonts w:ascii="Arial" w:cs="Arial" w:eastAsia="Arial" w:hAnsi="Arial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50b4209892c6764295c79872b5cc96a306a36a.png"/><Relationship Id="rId8" Type="http://schemas.openxmlformats.org/officeDocument/2006/relationships/image" Target="media/43396a312d2c56013ff4d170b6677d08eeb2baae.png"/><Relationship Id="rId9" Type="http://schemas.openxmlformats.org/officeDocument/2006/relationships/image" Target="media/c4ac1bd128e042e6c5b36b8e61ddf2fc2dc72c4e.png"/><Relationship Id="rId10" Type="http://schemas.openxmlformats.org/officeDocument/2006/relationships/image" Target="media/464904a906f09ab5aa822fedcdc4826e472f9956.png"/><Relationship Id="rId11" Type="http://schemas.openxmlformats.org/officeDocument/2006/relationships/image" Target="media/d0e6ee50ceb68e11f83b9ffb257c98d9d3ad146f.png"/><Relationship Id="rId12" Type="http://schemas.openxmlformats.org/officeDocument/2006/relationships/image" Target="media/5d2ad4f3aedbeea65fc44abc6f3baac7c185733e.png"/><Relationship Id="rId13" Type="http://schemas.openxmlformats.org/officeDocument/2006/relationships/image" Target="media/f296618ca8ebd4cc2bae47dbd6dfc06180f70a5e.png"/><Relationship Id="rId14" Type="http://schemas.openxmlformats.org/officeDocument/2006/relationships/image" Target="media/c81246970f525af0eb19ecced767c25015fff556.png"/><Relationship Id="rId15" Type="http://schemas.openxmlformats.org/officeDocument/2006/relationships/image" Target="media/2250dbdfa92677ebeab852080ef59ff990d43bd1.png"/><Relationship Id="rId16" Type="http://schemas.openxmlformats.org/officeDocument/2006/relationships/image" Target="media/8ffe1bc7fb371cfcc58737fa3ae3c28e25a55f1f.png"/><Relationship Id="rId17" Type="http://schemas.openxmlformats.org/officeDocument/2006/relationships/image" Target="media/19748f23ef07118a9a5a5fc405aa0b3d17ae3473.png"/><Relationship Id="rId18" Type="http://schemas.openxmlformats.org/officeDocument/2006/relationships/image" Target="media/0ad79637fdafd95566419240dcd4b1299aa02317.png"/><Relationship Id="rId19" Type="http://schemas.openxmlformats.org/officeDocument/2006/relationships/image" Target="media/abfc2f3dd5153b157a0e0281e10d32b3b1456446.png"/><Relationship Id="rId20" Type="http://schemas.openxmlformats.org/officeDocument/2006/relationships/image" Target="media/e4ffaae8db301c2caddfabd4613eb0d9312cb2e1.png"/><Relationship Id="rId21" Type="http://schemas.openxmlformats.org/officeDocument/2006/relationships/image" Target="media/44610d6390d220c913d442625148a8cbda002f79.png"/><Relationship Id="rId22" Type="http://schemas.openxmlformats.org/officeDocument/2006/relationships/image" Target="media/ad0f38a1d8ffa74a5e52a56d824ffc91d40b29c7.png"/><Relationship Id="rId23" Type="http://schemas.openxmlformats.org/officeDocument/2006/relationships/image" Target="media/aa1f51dbd4e0e2ccf98ff4778b96248c67ed70bb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LuminTrack — Application Walkthrough &amp; Open Questions</dc:title>
  <dc:creator>LuminTrack</dc:creator>
  <cp:lastModifiedBy>Un-named</cp:lastModifiedBy>
  <cp:revision>1</cp:revision>
  <dcterms:created xsi:type="dcterms:W3CDTF">2026-06-23T02:23:07.304Z</dcterms:created>
  <dcterms:modified xsi:type="dcterms:W3CDTF">2026-06-23T02:23:07.305Z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