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5276"/>
          <w:sz w:val="40"/>
          <w:szCs w:val="40"/>
        </w:rPr>
        <w:t xml:space="preserve">LuminTrack Demo-Readiness Review</w:t>
      </w:r>
    </w:p>
    <w:p>
      <w:pPr>
        <w:spacing w:after="120"/>
      </w:pPr>
      <w:r>
        <w:rPr>
          <w:i/>
          <w:iCs/>
          <w:color w:val="7F8C8D"/>
        </w:rPr>
        <w:t xml:space="preserve">Date 2026-07-06  ·  Branch feature/feedback-round-1  ·  Test DB reseeded (50 jobs · 30 candidates · 14 VPRs · 160 submissions · 9 placements · 81 interview rounds)</w:t>
      </w:r>
    </w:p>
    <w:p>
      <w:pPr>
        <w:pStyle w:val="Heading1"/>
        <w:spacing w:after="120" w:before="240"/>
      </w:pPr>
      <w:r>
        <w:t xml:space="preserve">1. Verdict — GO WITH CAVEATS</w:t>
      </w:r>
    </w:p>
    <w:p>
      <w:pPr>
        <w:spacing w:after="120"/>
      </w:pPr>
      <w:r>
        <w:rPr>
          <w:b/>
          <w:bCs/>
          <w:color w:val="E67E22"/>
          <w:sz w:val="30"/>
          <w:szCs w:val="30"/>
        </w:rPr>
        <w:t xml:space="preserve">GO WITH CAVEATS</w:t>
      </w:r>
    </w:p>
    <w:p>
      <w:pPr>
        <w:spacing w:after="120"/>
      </w:pPr>
      <w:r>
        <w:t xml:space="preserve">The app is stable and demo-worthy. Across 40+ page loads under two roles: zero console errors, zero network failures, zero server-side RBAC leaks. Hydration works; the redesigned status-advance flow works end-to-end (Advance → success toast → no crash); private-Blob résumé/document upload streams correctly (200 application/pdf gzip); headline numbers reconcile to the seed (160 submissions, 81 interview rounds, 9 joined). No critical or blocking bugs. The caveats are demo-narrative risks, not stability risks: (1) the Monthly Performance scorecard rests on unconfirmed metric definitions; (2) Reports/Analytics still shows Source/Client/Vendor filters but the spec's by-dimension breakdowns and open-job-aging were removed; (3) résumé upload depends on a Blob token set here but missing from .env.example. Steer around or caveat the scorecard and you present cleanly.</w:t>
      </w:r>
    </w:p>
    <w:p>
      <w:pPr>
        <w:pStyle w:val="Heading1"/>
        <w:spacing w:after="120" w:before="240"/>
      </w:pPr>
      <w:r>
        <w:t xml:space="preserve">2. Top 5 Things to Fix Before the Demo</w:t>
      </w:r>
    </w:p>
    <w:tbl>
      <w:tblPr>
        <w:tblW w:type="pct" w:w="100%"/>
        <w:tblBorders>
          <w:top w:val="single" w:color="D5D8DC" w:sz="2"/>
          <w:left w:val="single" w:color="D5D8DC" w:sz="2"/>
          <w:bottom w:val="single" w:color="D5D8DC" w:sz="2"/>
          <w:right w:val="single" w:color="D5D8DC" w:sz="2"/>
          <w:insideH w:val="single" w:color="D5D8DC" w:sz="2"/>
          <w:insideV w:val="single" w:color="D5D8DC" w:sz="2"/>
        </w:tblBorders>
      </w:tblPr>
      <w:tblGrid>
        <w:gridCol w:w="100"/>
        <w:gridCol w:w="100"/>
        <w:gridCol w:w="100"/>
        <w:gridCol w:w="100"/>
      </w:tblGrid>
      <w:tr>
        <w:trPr>
          <w:tblHeader/>
        </w:trPr>
        <w:tc>
          <w:tcPr>
            <w:tcW w:type="pct" w:w="5%"/>
            <w:shd w:fill="2C3E50" w:val="clear"/>
            <w:tcMar>
              <w:top w:type="dxa" w:w="60"/>
              <w:left w:type="dxa" w:w="90"/>
              <w:bottom w:type="dxa" w:w="60"/>
              <w:right w:type="dxa" w:w="90"/>
            </w:tcMar>
          </w:tcPr>
          <w:p>
            <w:pPr>
              <w:jc w:val="left"/>
            </w:pPr>
            <w:r>
              <w:rPr>
                <w:b/>
                <w:bCs/>
                <w:color w:val="FFFFFF"/>
              </w:rPr>
              <w:t xml:space="preserve">#</w:t>
            </w:r>
          </w:p>
        </w:tc>
        <w:tc>
          <w:tcPr>
            <w:tcW w:type="pct" w:w="45%"/>
            <w:shd w:fill="2C3E50" w:val="clear"/>
            <w:tcMar>
              <w:top w:type="dxa" w:w="60"/>
              <w:left w:type="dxa" w:w="90"/>
              <w:bottom w:type="dxa" w:w="60"/>
              <w:right w:type="dxa" w:w="90"/>
            </w:tcMar>
          </w:tcPr>
          <w:p>
            <w:pPr>
              <w:jc w:val="left"/>
            </w:pPr>
            <w:r>
              <w:rPr>
                <w:b/>
                <w:bCs/>
                <w:color w:val="FFFFFF"/>
              </w:rPr>
              <w:t xml:space="preserve">Fix</w:t>
            </w:r>
          </w:p>
        </w:tc>
        <w:tc>
          <w:tcPr>
            <w:tcW w:type="pct" w:w="28%"/>
            <w:shd w:fill="2C3E50" w:val="clear"/>
            <w:tcMar>
              <w:top w:type="dxa" w:w="60"/>
              <w:left w:type="dxa" w:w="90"/>
              <w:bottom w:type="dxa" w:w="60"/>
              <w:right w:type="dxa" w:w="90"/>
            </w:tcMar>
          </w:tcPr>
          <w:p>
            <w:pPr>
              <w:jc w:val="left"/>
            </w:pPr>
            <w:r>
              <w:rPr>
                <w:b/>
                <w:bCs/>
                <w:color w:val="FFFFFF"/>
              </w:rPr>
              <w:t xml:space="preserve">Why</w:t>
            </w:r>
          </w:p>
        </w:tc>
        <w:tc>
          <w:tcPr>
            <w:tcW w:type="pct" w:w="22%"/>
            <w:shd w:fill="2C3E50" w:val="clear"/>
            <w:tcMar>
              <w:top w:type="dxa" w:w="60"/>
              <w:left w:type="dxa" w:w="90"/>
              <w:bottom w:type="dxa" w:w="60"/>
              <w:right w:type="dxa" w:w="90"/>
            </w:tcMar>
          </w:tcPr>
          <w:p>
            <w:pPr>
              <w:jc w:val="left"/>
            </w:pPr>
            <w:r>
              <w:rPr>
                <w:b/>
                <w:bCs/>
                <w:color w:val="FFFFFF"/>
              </w:rPr>
              <w:t xml:space="preserve">Where</w:t>
            </w:r>
          </w:p>
        </w:tc>
      </w:tr>
      <w:tr>
        <w:tc>
          <w:tcPr>
            <w:tcW w:type="pct" w:w="5%"/>
            <w:tcMar>
              <w:top w:type="dxa" w:w="60"/>
              <w:left w:type="dxa" w:w="90"/>
              <w:bottom w:type="dxa" w:w="60"/>
              <w:right w:type="dxa" w:w="90"/>
            </w:tcMar>
          </w:tcPr>
          <w:p>
            <w:pPr>
              <w:jc w:val="center"/>
            </w:pPr>
            <w:r>
              <w:rPr>
                <w:b/>
                <w:bCs/>
              </w:rPr>
              <w:t xml:space="preserve">1</w:t>
            </w:r>
          </w:p>
        </w:tc>
        <w:tc>
          <w:tcPr>
            <w:tcW w:type="pct" w:w="45%"/>
            <w:tcMar>
              <w:top w:type="dxa" w:w="60"/>
              <w:left w:type="dxa" w:w="90"/>
              <w:bottom w:type="dxa" w:w="60"/>
              <w:right w:type="dxa" w:w="90"/>
            </w:tcMar>
          </w:tcPr>
          <w:p>
            <w:pPr>
              <w:jc w:val="left"/>
            </w:pPr>
            <w:r>
              <w:t xml:space="preserve">Decide the Monthly Performance story (fix Backouts week-bucketing; confirm New-vendors/Closures) or hide/caveat the tab</w:t>
            </w:r>
          </w:p>
        </w:tc>
        <w:tc>
          <w:tcPr>
            <w:tcW w:type="pct" w:w="28%"/>
            <w:tcMar>
              <w:top w:type="dxa" w:w="60"/>
              <w:left w:type="dxa" w:w="90"/>
              <w:bottom w:type="dxa" w:w="60"/>
              <w:right w:type="dxa" w:w="90"/>
            </w:tcMar>
          </w:tcPr>
          <w:p>
            <w:pPr>
              <w:jc w:val="left"/>
            </w:pPr>
            <w:r>
              <w:t xml:space="preserve">Most likely on-stage 'wrong number'</w:t>
            </w:r>
          </w:p>
        </w:tc>
        <w:tc>
          <w:tcPr>
            <w:tcW w:type="pct" w:w="22%"/>
            <w:tcMar>
              <w:top w:type="dxa" w:w="60"/>
              <w:left w:type="dxa" w:w="90"/>
              <w:bottom w:type="dxa" w:w="60"/>
              <w:right w:type="dxa" w:w="90"/>
            </w:tcMar>
          </w:tcPr>
          <w:p>
            <w:pPr>
              <w:jc w:val="left"/>
            </w:pPr>
            <w:r>
              <w:t xml:space="preserve">monthly-scorecard.ts</w:t>
            </w:r>
          </w:p>
        </w:tc>
      </w:tr>
      <w:tr>
        <w:tc>
          <w:tcPr>
            <w:tcW w:type="pct" w:w="5%"/>
            <w:tcMar>
              <w:top w:type="dxa" w:w="60"/>
              <w:left w:type="dxa" w:w="90"/>
              <w:bottom w:type="dxa" w:w="60"/>
              <w:right w:type="dxa" w:w="90"/>
            </w:tcMar>
          </w:tcPr>
          <w:p>
            <w:pPr>
              <w:jc w:val="center"/>
            </w:pPr>
            <w:r>
              <w:rPr>
                <w:b/>
                <w:bCs/>
              </w:rPr>
              <w:t xml:space="preserve">2</w:t>
            </w:r>
          </w:p>
        </w:tc>
        <w:tc>
          <w:tcPr>
            <w:tcW w:type="pct" w:w="45%"/>
            <w:tcMar>
              <w:top w:type="dxa" w:w="60"/>
              <w:left w:type="dxa" w:w="90"/>
              <w:bottom w:type="dxa" w:w="60"/>
              <w:right w:type="dxa" w:w="90"/>
            </w:tcMar>
          </w:tcPr>
          <w:p>
            <w:pPr>
              <w:jc w:val="left"/>
            </w:pPr>
            <w:r>
              <w:t xml:space="preserve">Reconcile Reports/Analytics with its filters — restore jobs-by-client/vendor/source + open-job-aging or trim the filters</w:t>
            </w:r>
          </w:p>
        </w:tc>
        <w:tc>
          <w:tcPr>
            <w:tcW w:type="pct" w:w="28%"/>
            <w:tcMar>
              <w:top w:type="dxa" w:w="60"/>
              <w:left w:type="dxa" w:w="90"/>
              <w:bottom w:type="dxa" w:w="60"/>
              <w:right w:type="dxa" w:w="90"/>
            </w:tcMar>
          </w:tcPr>
          <w:p>
            <w:pPr>
              <w:jc w:val="left"/>
            </w:pPr>
            <w:r>
              <w:t xml:space="preserve">Tab looks thinner than it promises</w:t>
            </w:r>
          </w:p>
        </w:tc>
        <w:tc>
          <w:tcPr>
            <w:tcW w:type="pct" w:w="22%"/>
            <w:tcMar>
              <w:top w:type="dxa" w:w="60"/>
              <w:left w:type="dxa" w:w="90"/>
              <w:bottom w:type="dxa" w:w="60"/>
              <w:right w:type="dxa" w:w="90"/>
            </w:tcMar>
          </w:tcPr>
          <w:p>
            <w:pPr>
              <w:jc w:val="left"/>
            </w:pPr>
            <w:r>
              <w:t xml:space="preserve">reports.ts</w:t>
            </w:r>
          </w:p>
        </w:tc>
      </w:tr>
      <w:tr>
        <w:tc>
          <w:tcPr>
            <w:tcW w:type="pct" w:w="5%"/>
            <w:tcMar>
              <w:top w:type="dxa" w:w="60"/>
              <w:left w:type="dxa" w:w="90"/>
              <w:bottom w:type="dxa" w:w="60"/>
              <w:right w:type="dxa" w:w="90"/>
            </w:tcMar>
          </w:tcPr>
          <w:p>
            <w:pPr>
              <w:jc w:val="center"/>
            </w:pPr>
            <w:r>
              <w:rPr>
                <w:b/>
                <w:bCs/>
              </w:rPr>
              <w:t xml:space="preserve">3</w:t>
            </w:r>
          </w:p>
        </w:tc>
        <w:tc>
          <w:tcPr>
            <w:tcW w:type="pct" w:w="45%"/>
            <w:tcMar>
              <w:top w:type="dxa" w:w="60"/>
              <w:left w:type="dxa" w:w="90"/>
              <w:bottom w:type="dxa" w:w="60"/>
              <w:right w:type="dxa" w:w="90"/>
            </w:tcMar>
          </w:tcPr>
          <w:p>
            <w:pPr>
              <w:jc w:val="left"/>
            </w:pPr>
            <w:r>
              <w:t xml:space="preserve">Carry Job → VPR Client rate (prefill default)</w:t>
            </w:r>
          </w:p>
        </w:tc>
        <w:tc>
          <w:tcPr>
            <w:tcW w:type="pct" w:w="28%"/>
            <w:tcMar>
              <w:top w:type="dxa" w:w="60"/>
              <w:left w:type="dxa" w:w="90"/>
              <w:bottom w:type="dxa" w:w="60"/>
              <w:right w:type="dxa" w:w="90"/>
            </w:tcMar>
          </w:tcPr>
          <w:p>
            <w:pPr>
              <w:jc w:val="left"/>
            </w:pPr>
            <w:r>
              <w:t xml:space="preserve">Removes re-typing + transcription risk</w:t>
            </w:r>
          </w:p>
        </w:tc>
        <w:tc>
          <w:tcPr>
            <w:tcW w:type="pct" w:w="22%"/>
            <w:tcMar>
              <w:top w:type="dxa" w:w="60"/>
              <w:left w:type="dxa" w:w="90"/>
              <w:bottom w:type="dxa" w:w="60"/>
              <w:right w:type="dxa" w:w="90"/>
            </w:tcMar>
          </w:tcPr>
          <w:p>
            <w:pPr>
              <w:jc w:val="left"/>
            </w:pPr>
            <w:r>
              <w:t xml:space="preserve">vendor-portal/new/page.tsx:135</w:t>
            </w:r>
          </w:p>
        </w:tc>
      </w:tr>
      <w:tr>
        <w:tc>
          <w:tcPr>
            <w:tcW w:type="pct" w:w="5%"/>
            <w:tcMar>
              <w:top w:type="dxa" w:w="60"/>
              <w:left w:type="dxa" w:w="90"/>
              <w:bottom w:type="dxa" w:w="60"/>
              <w:right w:type="dxa" w:w="90"/>
            </w:tcMar>
          </w:tcPr>
          <w:p>
            <w:pPr>
              <w:jc w:val="center"/>
            </w:pPr>
            <w:r>
              <w:rPr>
                <w:b/>
                <w:bCs/>
              </w:rPr>
              <w:t xml:space="preserve">4</w:t>
            </w:r>
          </w:p>
        </w:tc>
        <w:tc>
          <w:tcPr>
            <w:tcW w:type="pct" w:w="45%"/>
            <w:tcMar>
              <w:top w:type="dxa" w:w="60"/>
              <w:left w:type="dxa" w:w="90"/>
              <w:bottom w:type="dxa" w:w="60"/>
              <w:right w:type="dxa" w:w="90"/>
            </w:tcMar>
          </w:tcPr>
          <w:p>
            <w:pPr>
              <w:jc w:val="left"/>
            </w:pPr>
            <w:r>
              <w:t xml:space="preserve">Add BLOB_READ_WRITE_TOKEN to .env.example; confirm set in demo env</w:t>
            </w:r>
          </w:p>
        </w:tc>
        <w:tc>
          <w:tcPr>
            <w:tcW w:type="pct" w:w="28%"/>
            <w:tcMar>
              <w:top w:type="dxa" w:w="60"/>
              <w:left w:type="dxa" w:w="90"/>
              <w:bottom w:type="dxa" w:w="60"/>
              <w:right w:type="dxa" w:w="90"/>
            </w:tcMar>
          </w:tcPr>
          <w:p>
            <w:pPr>
              <w:jc w:val="left"/>
            </w:pPr>
            <w:r>
              <w:t xml:space="preserve">Uploads silently fail elsewhere</w:t>
            </w:r>
          </w:p>
        </w:tc>
        <w:tc>
          <w:tcPr>
            <w:tcW w:type="pct" w:w="22%"/>
            <w:tcMar>
              <w:top w:type="dxa" w:w="60"/>
              <w:left w:type="dxa" w:w="90"/>
              <w:bottom w:type="dxa" w:w="60"/>
              <w:right w:type="dxa" w:w="90"/>
            </w:tcMar>
          </w:tcPr>
          <w:p>
            <w:pPr>
              <w:jc w:val="left"/>
            </w:pPr>
            <w:r>
              <w:t xml:space="preserve">.env.example</w:t>
            </w:r>
          </w:p>
        </w:tc>
      </w:tr>
      <w:tr>
        <w:tc>
          <w:tcPr>
            <w:tcW w:type="pct" w:w="5%"/>
            <w:tcMar>
              <w:top w:type="dxa" w:w="60"/>
              <w:left w:type="dxa" w:w="90"/>
              <w:bottom w:type="dxa" w:w="60"/>
              <w:right w:type="dxa" w:w="90"/>
            </w:tcMar>
          </w:tcPr>
          <w:p>
            <w:pPr>
              <w:jc w:val="center"/>
            </w:pPr>
            <w:r>
              <w:rPr>
                <w:b/>
                <w:bCs/>
              </w:rPr>
              <w:t xml:space="preserve">5</w:t>
            </w:r>
          </w:p>
        </w:tc>
        <w:tc>
          <w:tcPr>
            <w:tcW w:type="pct" w:w="45%"/>
            <w:tcMar>
              <w:top w:type="dxa" w:w="60"/>
              <w:left w:type="dxa" w:w="90"/>
              <w:bottom w:type="dxa" w:w="60"/>
              <w:right w:type="dxa" w:w="90"/>
            </w:tcMar>
          </w:tcPr>
          <w:p>
            <w:pPr>
              <w:jc w:val="left"/>
            </w:pPr>
            <w:r>
              <w:t xml:space="preserve">Confirm RBAC: should recruiters create jobs / see Settings?</w:t>
            </w:r>
          </w:p>
        </w:tc>
        <w:tc>
          <w:tcPr>
            <w:tcW w:type="pct" w:w="28%"/>
            <w:tcMar>
              <w:top w:type="dxa" w:w="60"/>
              <w:left w:type="dxa" w:w="90"/>
              <w:bottom w:type="dxa" w:w="60"/>
              <w:right w:type="dxa" w:w="90"/>
            </w:tcMar>
          </w:tcPr>
          <w:p>
            <w:pPr>
              <w:jc w:val="left"/>
            </w:pPr>
            <w:r>
              <w:t xml:space="preserve">Conflicts with three-tier framing</w:t>
            </w:r>
          </w:p>
        </w:tc>
        <w:tc>
          <w:tcPr>
            <w:tcW w:type="pct" w:w="22%"/>
            <w:tcMar>
              <w:top w:type="dxa" w:w="60"/>
              <w:left w:type="dxa" w:w="90"/>
              <w:bottom w:type="dxa" w:w="60"/>
              <w:right w:type="dxa" w:w="90"/>
            </w:tcMar>
          </w:tcPr>
          <w:p>
            <w:pPr>
              <w:jc w:val="left"/>
            </w:pPr>
            <w:r>
              <w:t xml:space="preserve">actions/jobs.ts</w:t>
            </w:r>
          </w:p>
        </w:tc>
      </w:tr>
    </w:tbl>
    <w:p>
      <w:pPr>
        <w:pStyle w:val="Heading1"/>
        <w:spacing w:after="120" w:before="240"/>
      </w:pPr>
      <w:r>
        <w:t xml:space="preserve">3. Per-Persona Findings</w:t>
      </w:r>
    </w:p>
    <w:p>
      <w:pPr>
        <w:spacing w:after="120"/>
      </w:pPr>
      <w:r>
        <w:rPr>
          <w:b/>
          <w:bCs/>
        </w:rPr>
        <w:t xml:space="preserve">Recruiter (end user) — SMOOTH.</w:t>
      </w:r>
    </w:p>
    <w:p>
      <w:pPr>
        <w:pStyle w:val="ListParagraph"/>
        <w:numPr>
          <w:ilvl w:val="0"/>
          <w:numId w:val="1"/>
        </w:numPr>
        <w:spacing w:after="60"/>
      </w:pPr>
      <w:r>
        <w:rPr>
          <w:b w:val="false"/>
          <w:bCs w:val="false"/>
        </w:rPr>
        <w:t xml:space="preserve">Full daily loop walks cleanly; 0 errors. Redesigned status action-bar (one-click Advance + Hold/Reject/Backed-out + clickable stepper) verified live with success toast.</w:t>
      </w:r>
    </w:p>
    <w:p>
      <w:pPr>
        <w:pStyle w:val="ListParagraph"/>
        <w:numPr>
          <w:ilvl w:val="0"/>
          <w:numId w:val="1"/>
        </w:numPr>
        <w:spacing w:after="60"/>
      </w:pPr>
      <w:r>
        <w:rPr>
          <w:b w:val="false"/>
          <w:bCs w:val="false"/>
        </w:rPr>
        <w:t xml:space="preserve">Permission boundaries correct: /settings/export and /audit render 'Forbidden'; VPR list shows 0 create/submit controls; VPR-create bounces to the list.</w:t>
      </w:r>
    </w:p>
    <w:p>
      <w:pPr>
        <w:pStyle w:val="ListParagraph"/>
        <w:numPr>
          <w:ilvl w:val="0"/>
          <w:numId w:val="1"/>
        </w:numPr>
        <w:spacing w:after="60"/>
      </w:pPr>
      <w:r>
        <w:rPr>
          <w:b w:val="false"/>
          <w:bCs w:val="false"/>
        </w:rPr>
        <w:t xml:space="preserve">Friction: re-typing Client rate at the VPR step (H4); happy path is 4 screens / 3 forward clicks (no backward round-trips).</w:t>
      </w:r>
    </w:p>
    <w:p>
      <w:pPr>
        <w:spacing w:after="120"/>
      </w:pPr>
      <w:r>
        <w:rPr>
          <w:b/>
          <w:bCs/>
        </w:rPr>
        <w:t xml:space="preserve">Manager / Team Lead — SMOOTH dashboard, ROUGH at Reports.</w:t>
      </w:r>
    </w:p>
    <w:p>
      <w:pPr>
        <w:pStyle w:val="ListParagraph"/>
        <w:numPr>
          <w:ilvl w:val="0"/>
          <w:numId w:val="1"/>
        </w:numPr>
        <w:spacing w:after="60"/>
      </w:pPr>
      <w:r>
        <w:rPr>
          <w:b w:val="false"/>
          <w:bCs w:val="false"/>
        </w:rPr>
        <w:t xml:space="preserve">Dashboard both scopes render; KPIs reconcile (160 submissions, 81 rounds, 9 joined). Drill-through works.</w:t>
      </w:r>
    </w:p>
    <w:p>
      <w:pPr>
        <w:pStyle w:val="ListParagraph"/>
        <w:numPr>
          <w:ilvl w:val="0"/>
          <w:numId w:val="1"/>
        </w:numPr>
        <w:spacing w:after="60"/>
      </w:pPr>
      <w:r>
        <w:rPr>
          <w:b w:val="false"/>
          <w:bCs w:val="false"/>
        </w:rPr>
        <w:t xml:space="preserve">Reports conversions reconcile (49 of 160 reached interview; 21 of 49 selected) BUT by-source/client/vendor + open-job-aging removed while filters remain (H1).</w:t>
      </w:r>
    </w:p>
    <w:p>
      <w:pPr>
        <w:pStyle w:val="ListParagraph"/>
        <w:numPr>
          <w:ilvl w:val="0"/>
          <w:numId w:val="1"/>
        </w:numPr>
        <w:spacing w:after="60"/>
      </w:pPr>
      <w:r>
        <w:rPr>
          <w:b w:val="false"/>
          <w:bCs w:val="false"/>
        </w:rPr>
        <w:t xml:space="preserve">Monthly Performance renders but metric definitions unconfirmed (H2) — highest demo risk. 'Interviews' means 81 rounds here vs 49 interviewed submissions on Reports (M1).</w:t>
      </w:r>
    </w:p>
    <w:p>
      <w:pPr>
        <w:spacing w:after="120"/>
      </w:pPr>
      <w:r>
        <w:rPr>
          <w:b/>
          <w:bCs/>
        </w:rPr>
        <w:t xml:space="preserve">Admin — SMOOTH.</w:t>
      </w:r>
    </w:p>
    <w:p>
      <w:pPr>
        <w:pStyle w:val="ListParagraph"/>
        <w:numPr>
          <w:ilvl w:val="0"/>
          <w:numId w:val="1"/>
        </w:numPr>
        <w:spacing w:after="60"/>
      </w:pPr>
      <w:r>
        <w:rPr>
          <w:b w:val="false"/>
          <w:bCs w:val="false"/>
        </w:rPr>
        <w:t xml:space="preserve">RBAC: 0 server-side leaks — every sensitive action re-checks role. Settings write controls isAdmin-gated (recruiters see read-only lists, no broken buttons).</w:t>
      </w:r>
    </w:p>
    <w:p>
      <w:pPr>
        <w:pStyle w:val="ListParagraph"/>
        <w:numPr>
          <w:ilvl w:val="0"/>
          <w:numId w:val="1"/>
        </w:numPr>
        <w:spacing w:after="60"/>
      </w:pPr>
      <w:r>
        <w:rPr>
          <w:b w:val="false"/>
          <w:bCs w:val="false"/>
        </w:rPr>
        <w:t xml:space="preserve">Cascade automations fire: JOINED → auto Placement + candidate PLACED; revert → TERMINATED + AVAILABLE. Duplicate candidate+job blocked at action layer with override path.</w:t>
      </w:r>
    </w:p>
    <w:p>
      <w:pPr>
        <w:pStyle w:val="Heading1"/>
        <w:spacing w:after="120" w:before="240"/>
      </w:pPr>
      <w:r>
        <w:t xml:space="preserve">4. Requirements Coverage (summary)</w:t>
      </w:r>
    </w:p>
    <w:p>
      <w:pPr>
        <w:spacing w:after="120"/>
      </w:pPr>
      <w:r>
        <w:t xml:space="preserve">Sources: PROJECT_REQUIREMENTS.md (§9 pages, §19 acceptance criteria) + June-19 Excel (6 tabs). Counts: ~78 Present &amp; Working · 4 Present-but-Suspect · ~12 Partial · 7 Missing. Full matrix in test-results/coverage-matrix.md.</w:t>
      </w:r>
    </w:p>
    <w:p>
      <w:pPr>
        <w:spacing w:after="120"/>
      </w:pPr>
      <w:r>
        <w:t xml:space="preserve">Acceptance criteria §19: 1–14 and 16 met; #15 partial (upload works, Google-Drive-link entry removed).</w:t>
      </w:r>
    </w:p>
    <w:p>
      <w:pPr>
        <w:spacing w:after="120"/>
      </w:pPr>
      <w:r>
        <w:rPr>
          <w:b/>
          <w:bCs/>
        </w:rPr>
        <w:t xml:space="preserve">Missing (spec, no working feature):</w:t>
      </w:r>
    </w:p>
    <w:p>
      <w:pPr>
        <w:pStyle w:val="ListParagraph"/>
        <w:numPr>
          <w:ilvl w:val="0"/>
          <w:numId w:val="1"/>
        </w:numPr>
        <w:spacing w:after="60"/>
      </w:pPr>
      <w:r>
        <w:rPr>
          <w:b w:val="false"/>
          <w:bCs w:val="false"/>
        </w:rPr>
        <w:t xml:space="preserve">Reports: jobs by source / client / vendor</w:t>
      </w:r>
    </w:p>
    <w:p>
      <w:pPr>
        <w:pStyle w:val="ListParagraph"/>
        <w:numPr>
          <w:ilvl w:val="0"/>
          <w:numId w:val="1"/>
        </w:numPr>
        <w:spacing w:after="60"/>
      </w:pPr>
      <w:r>
        <w:rPr>
          <w:b w:val="false"/>
          <w:bCs w:val="false"/>
        </w:rPr>
        <w:t xml:space="preserve">Reports/Dashboard: open-job aging</w:t>
      </w:r>
    </w:p>
    <w:p>
      <w:pPr>
        <w:pStyle w:val="ListParagraph"/>
        <w:numPr>
          <w:ilvl w:val="0"/>
          <w:numId w:val="1"/>
        </w:numPr>
        <w:spacing w:after="60"/>
      </w:pPr>
      <w:r>
        <w:rPr>
          <w:b w:val="false"/>
          <w:bCs w:val="false"/>
        </w:rPr>
        <w:t xml:space="preserve">Dashboard: jobs by sister-company source; aging jobs</w:t>
      </w:r>
    </w:p>
    <w:p>
      <w:pPr>
        <w:pStyle w:val="ListParagraph"/>
        <w:numPr>
          <w:ilvl w:val="0"/>
          <w:numId w:val="1"/>
        </w:numPr>
        <w:spacing w:after="60"/>
      </w:pPr>
      <w:r>
        <w:rPr>
          <w:b w:val="false"/>
          <w:bCs w:val="false"/>
        </w:rPr>
        <w:t xml:space="preserve">Jobs list: per-row #interviews / #selected / #joined columns</w:t>
      </w:r>
    </w:p>
    <w:p>
      <w:pPr>
        <w:pStyle w:val="ListParagraph"/>
        <w:numPr>
          <w:ilvl w:val="0"/>
          <w:numId w:val="1"/>
        </w:numPr>
        <w:spacing w:after="60"/>
      </w:pPr>
      <w:r>
        <w:rPr>
          <w:b w:val="false"/>
          <w:bCs w:val="false"/>
        </w:rPr>
        <w:t xml:space="preserve">Interviews roll-up: Vendor, Location, Remarks columns</w:t>
      </w:r>
    </w:p>
    <w:p>
      <w:pPr>
        <w:pStyle w:val="ListParagraph"/>
        <w:numPr>
          <w:ilvl w:val="0"/>
          <w:numId w:val="1"/>
        </w:numPr>
        <w:spacing w:after="60"/>
      </w:pPr>
      <w:r>
        <w:rPr>
          <w:b w:val="false"/>
          <w:bCs w:val="false"/>
        </w:rPr>
        <w:t xml:space="preserve">Files: Google-Drive-link entry path (upload-only now)</w:t>
      </w:r>
    </w:p>
    <w:p>
      <w:pPr>
        <w:pStyle w:val="Heading1"/>
        <w:spacing w:after="120" w:before="240"/>
      </w:pPr>
      <w:r>
        <w:t xml:space="preserve">5. Redundancy / Duplicate-Work</w:t>
      </w:r>
    </w:p>
    <w:p>
      <w:pPr>
        <w:spacing w:after="120"/>
      </w:pPr>
      <w:r>
        <w:t xml:space="preserve">Verdict: lean where deliberately wired, leaky at one seam. Nothing forces a backward round-trip; nothing is confirmed twice for its own sake.</w:t>
      </w:r>
    </w:p>
    <w:p>
      <w:pPr>
        <w:pStyle w:val="ListParagraph"/>
        <w:numPr>
          <w:ilvl w:val="0"/>
          <w:numId w:val="1"/>
        </w:numPr>
        <w:spacing w:after="60"/>
      </w:pPr>
      <w:r>
        <w:rPr>
          <w:b/>
          <w:bCs/>
        </w:rPr>
        <w:t xml:space="preserve">HIGH — Job's Client rate re-typed on the VPR (only 'location' carries forward). Fix: seed defaults.clientRate from the job. [vendor-portal/new/page.tsx:135]</w:t>
      </w:r>
    </w:p>
    <w:p>
      <w:pPr>
        <w:pStyle w:val="ListParagraph"/>
        <w:numPr>
          <w:ilvl w:val="0"/>
          <w:numId w:val="1"/>
        </w:numPr>
        <w:spacing w:after="60"/>
      </w:pPr>
      <w:r>
        <w:rPr>
          <w:b w:val="false"/>
          <w:bCs w:val="false"/>
        </w:rPr>
        <w:t xml:space="preserve">LOW-MED — Direct 'New submission' entries start blank instead of prefilling from an OPEN VPR.</w:t>
      </w:r>
    </w:p>
    <w:p>
      <w:pPr>
        <w:pStyle w:val="ListParagraph"/>
        <w:numPr>
          <w:ilvl w:val="0"/>
          <w:numId w:val="1"/>
        </w:numPr>
        <w:spacing w:after="60"/>
      </w:pPr>
      <w:r>
        <w:rPr>
          <w:b w:val="false"/>
          <w:bCs w:val="false"/>
        </w:rPr>
        <w:t xml:space="preserve">GOOD (preserve): VPR→Submission convert prefills the full commercial block + candidate + recruiter + notes, all editable; team-lead auto-derived; self-claim inlined; job shown read-only.</w:t>
      </w:r>
    </w:p>
    <w:p>
      <w:pPr>
        <w:pStyle w:val="Heading1"/>
        <w:spacing w:after="120" w:before="240"/>
      </w:pPr>
      <w:r>
        <w:t xml:space="preserve">6. Flow-Smoothness Ratings</w:t>
      </w:r>
    </w:p>
    <w:tbl>
      <w:tblPr>
        <w:tblW w:type="pct" w:w="100%"/>
        <w:tblBorders>
          <w:top w:val="single" w:color="D5D8DC" w:sz="2"/>
          <w:left w:val="single" w:color="D5D8DC" w:sz="2"/>
          <w:bottom w:val="single" w:color="D5D8DC" w:sz="2"/>
          <w:right w:val="single" w:color="D5D8DC" w:sz="2"/>
          <w:insideH w:val="single" w:color="D5D8DC" w:sz="2"/>
          <w:insideV w:val="single" w:color="D5D8DC" w:sz="2"/>
        </w:tblBorders>
      </w:tblPr>
      <w:tblGrid>
        <w:gridCol w:w="100"/>
        <w:gridCol w:w="100"/>
      </w:tblGrid>
      <w:tr>
        <w:trPr>
          <w:tblHeader/>
        </w:trPr>
        <w:tc>
          <w:tcPr>
            <w:tcW w:type="pct" w:w="65%"/>
            <w:shd w:fill="2C3E50" w:val="clear"/>
            <w:tcMar>
              <w:top w:type="dxa" w:w="60"/>
              <w:left w:type="dxa" w:w="90"/>
              <w:bottom w:type="dxa" w:w="60"/>
              <w:right w:type="dxa" w:w="90"/>
            </w:tcMar>
          </w:tcPr>
          <w:p>
            <w:pPr>
              <w:jc w:val="left"/>
            </w:pPr>
            <w:r>
              <w:rPr>
                <w:b/>
                <w:bCs/>
                <w:color w:val="FFFFFF"/>
              </w:rPr>
              <w:t xml:space="preserve">Persona flow</w:t>
            </w:r>
          </w:p>
        </w:tc>
        <w:tc>
          <w:tcPr>
            <w:tcW w:type="pct" w:w="35%"/>
            <w:shd w:fill="2C3E50" w:val="clear"/>
            <w:tcMar>
              <w:top w:type="dxa" w:w="60"/>
              <w:left w:type="dxa" w:w="90"/>
              <w:bottom w:type="dxa" w:w="60"/>
              <w:right w:type="dxa" w:w="90"/>
            </w:tcMar>
          </w:tcPr>
          <w:p>
            <w:pPr>
              <w:jc w:val="left"/>
            </w:pPr>
            <w:r>
              <w:rPr>
                <w:b/>
                <w:bCs/>
                <w:color w:val="FFFFFF"/>
              </w:rPr>
              <w:t xml:space="preserve">Rating</w:t>
            </w:r>
          </w:p>
        </w:tc>
      </w:tr>
      <w:tr>
        <w:tc>
          <w:tcPr>
            <w:tcW w:type="pct" w:w="65%"/>
            <w:tcMar>
              <w:top w:type="dxa" w:w="60"/>
              <w:left w:type="dxa" w:w="90"/>
              <w:bottom w:type="dxa" w:w="60"/>
              <w:right w:type="dxa" w:w="90"/>
            </w:tcMar>
          </w:tcPr>
          <w:p>
            <w:pPr>
              <w:jc w:val="left"/>
            </w:pPr>
            <w:r>
              <w:t xml:space="preserve">Recruiter — daily loop</w:t>
            </w:r>
          </w:p>
        </w:tc>
        <w:tc>
          <w:tcPr>
            <w:tcW w:type="pct" w:w="35%"/>
            <w:tcMar>
              <w:top w:type="dxa" w:w="60"/>
              <w:left w:type="dxa" w:w="90"/>
              <w:bottom w:type="dxa" w:w="60"/>
              <w:right w:type="dxa" w:w="90"/>
            </w:tcMar>
          </w:tcPr>
          <w:p>
            <w:pPr>
              <w:jc w:val="left"/>
            </w:pPr>
            <w:r>
              <w:rPr>
                <w:b/>
                <w:bCs/>
                <w:color w:val="008000"/>
              </w:rPr>
              <w:t xml:space="preserve">SMOOTH</w:t>
            </w:r>
          </w:p>
        </w:tc>
      </w:tr>
      <w:tr>
        <w:tc>
          <w:tcPr>
            <w:tcW w:type="pct" w:w="65%"/>
            <w:tcMar>
              <w:top w:type="dxa" w:w="60"/>
              <w:left w:type="dxa" w:w="90"/>
              <w:bottom w:type="dxa" w:w="60"/>
              <w:right w:type="dxa" w:w="90"/>
            </w:tcMar>
          </w:tcPr>
          <w:p>
            <w:pPr>
              <w:jc w:val="left"/>
            </w:pPr>
            <w:r>
              <w:t xml:space="preserve">Admin — config / RBAC / cascades</w:t>
            </w:r>
          </w:p>
        </w:tc>
        <w:tc>
          <w:tcPr>
            <w:tcW w:type="pct" w:w="35%"/>
            <w:tcMar>
              <w:top w:type="dxa" w:w="60"/>
              <w:left w:type="dxa" w:w="90"/>
              <w:bottom w:type="dxa" w:w="60"/>
              <w:right w:type="dxa" w:w="90"/>
            </w:tcMar>
          </w:tcPr>
          <w:p>
            <w:pPr>
              <w:jc w:val="left"/>
            </w:pPr>
            <w:r>
              <w:rPr>
                <w:b/>
                <w:bCs/>
                <w:color w:val="008000"/>
              </w:rPr>
              <w:t xml:space="preserve">SMOOTH</w:t>
            </w:r>
          </w:p>
        </w:tc>
      </w:tr>
      <w:tr>
        <w:tc>
          <w:tcPr>
            <w:tcW w:type="pct" w:w="65%"/>
            <w:tcMar>
              <w:top w:type="dxa" w:w="60"/>
              <w:left w:type="dxa" w:w="90"/>
              <w:bottom w:type="dxa" w:w="60"/>
              <w:right w:type="dxa" w:w="90"/>
            </w:tcMar>
          </w:tcPr>
          <w:p>
            <w:pPr>
              <w:jc w:val="left"/>
            </w:pPr>
            <w:r>
              <w:t xml:space="preserve">Manager — dashboard &amp; drill-down</w:t>
            </w:r>
          </w:p>
        </w:tc>
        <w:tc>
          <w:tcPr>
            <w:tcW w:type="pct" w:w="35%"/>
            <w:tcMar>
              <w:top w:type="dxa" w:w="60"/>
              <w:left w:type="dxa" w:w="90"/>
              <w:bottom w:type="dxa" w:w="60"/>
              <w:right w:type="dxa" w:w="90"/>
            </w:tcMar>
          </w:tcPr>
          <w:p>
            <w:pPr>
              <w:jc w:val="left"/>
            </w:pPr>
            <w:r>
              <w:rPr>
                <w:b/>
                <w:bCs/>
                <w:color w:val="008000"/>
              </w:rPr>
              <w:t xml:space="preserve">SMOOTH</w:t>
            </w:r>
          </w:p>
        </w:tc>
      </w:tr>
      <w:tr>
        <w:tc>
          <w:tcPr>
            <w:tcW w:type="pct" w:w="65%"/>
            <w:tcMar>
              <w:top w:type="dxa" w:w="60"/>
              <w:left w:type="dxa" w:w="90"/>
              <w:bottom w:type="dxa" w:w="60"/>
              <w:right w:type="dxa" w:w="90"/>
            </w:tcMar>
          </w:tcPr>
          <w:p>
            <w:pPr>
              <w:jc w:val="left"/>
            </w:pPr>
            <w:r>
              <w:t xml:space="preserve">Manager — Reports / Analytics</w:t>
            </w:r>
          </w:p>
        </w:tc>
        <w:tc>
          <w:tcPr>
            <w:tcW w:type="pct" w:w="35%"/>
            <w:tcMar>
              <w:top w:type="dxa" w:w="60"/>
              <w:left w:type="dxa" w:w="90"/>
              <w:bottom w:type="dxa" w:w="60"/>
              <w:right w:type="dxa" w:w="90"/>
            </w:tcMar>
          </w:tcPr>
          <w:p>
            <w:pPr>
              <w:jc w:val="left"/>
            </w:pPr>
            <w:r>
              <w:rPr>
                <w:b/>
                <w:bCs/>
                <w:color w:val="E67E22"/>
              </w:rPr>
              <w:t xml:space="preserve">ROUGH</w:t>
            </w:r>
          </w:p>
        </w:tc>
      </w:tr>
      <w:tr>
        <w:tc>
          <w:tcPr>
            <w:tcW w:type="pct" w:w="65%"/>
            <w:tcMar>
              <w:top w:type="dxa" w:w="60"/>
              <w:left w:type="dxa" w:w="90"/>
              <w:bottom w:type="dxa" w:w="60"/>
              <w:right w:type="dxa" w:w="90"/>
            </w:tcMar>
          </w:tcPr>
          <w:p>
            <w:pPr>
              <w:jc w:val="left"/>
            </w:pPr>
            <w:r>
              <w:t xml:space="preserve">Manager — Monthly Performance</w:t>
            </w:r>
          </w:p>
        </w:tc>
        <w:tc>
          <w:tcPr>
            <w:tcW w:type="pct" w:w="35%"/>
            <w:tcMar>
              <w:top w:type="dxa" w:w="60"/>
              <w:left w:type="dxa" w:w="90"/>
              <w:bottom w:type="dxa" w:w="60"/>
              <w:right w:type="dxa" w:w="90"/>
            </w:tcMar>
          </w:tcPr>
          <w:p>
            <w:pPr>
              <w:jc w:val="left"/>
            </w:pPr>
            <w:r>
              <w:rPr>
                <w:b/>
                <w:bCs/>
                <w:color w:val="C0392B"/>
              </w:rPr>
              <w:t xml:space="preserve">WOULD STALL A DEMO</w:t>
            </w:r>
          </w:p>
        </w:tc>
      </w:tr>
    </w:tbl>
    <w:p>
      <w:pPr>
        <w:pStyle w:val="Heading1"/>
        <w:spacing w:after="120" w:before="240"/>
      </w:pPr>
      <w:r>
        <w:t xml:space="preserve">7. Bug Log</w:t>
      </w:r>
    </w:p>
    <w:p>
      <w:pPr>
        <w:spacing w:after="120"/>
      </w:pPr>
      <w:r>
        <w:rPr>
          <w:b/>
          <w:bCs/>
        </w:rPr>
        <w:t xml:space="preserve">Counts:  0 critical  ·  4 high  ·  6 medium  ·  6 low.  Machine-readable copy: test-results/bugs.json.</w:t>
      </w:r>
    </w:p>
    <w:tbl>
      <w:tblPr>
        <w:tblW w:type="pct" w:w="100%"/>
        <w:tblBorders>
          <w:top w:val="single" w:color="D5D8DC" w:sz="2"/>
          <w:left w:val="single" w:color="D5D8DC" w:sz="2"/>
          <w:bottom w:val="single" w:color="D5D8DC" w:sz="2"/>
          <w:right w:val="single" w:color="D5D8DC" w:sz="2"/>
          <w:insideH w:val="single" w:color="D5D8DC" w:sz="2"/>
          <w:insideV w:val="single" w:color="D5D8DC" w:sz="2"/>
        </w:tblBorders>
      </w:tblPr>
      <w:tblGrid>
        <w:gridCol w:w="100"/>
        <w:gridCol w:w="100"/>
        <w:gridCol w:w="100"/>
        <w:gridCol w:w="100"/>
        <w:gridCol w:w="100"/>
      </w:tblGrid>
      <w:tr>
        <w:trPr>
          <w:tblHeader/>
        </w:trPr>
        <w:tc>
          <w:tcPr>
            <w:tcW w:type="pct" w:w="6%"/>
            <w:shd w:fill="2C3E50" w:val="clear"/>
            <w:tcMar>
              <w:top w:type="dxa" w:w="60"/>
              <w:left w:type="dxa" w:w="90"/>
              <w:bottom w:type="dxa" w:w="60"/>
              <w:right w:type="dxa" w:w="90"/>
            </w:tcMar>
          </w:tcPr>
          <w:p>
            <w:pPr>
              <w:jc w:val="left"/>
            </w:pPr>
            <w:r>
              <w:rPr>
                <w:b/>
                <w:bCs/>
                <w:color w:val="FFFFFF"/>
              </w:rPr>
              <w:t xml:space="preserve">ID</w:t>
            </w:r>
          </w:p>
        </w:tc>
        <w:tc>
          <w:tcPr>
            <w:tcW w:type="pct" w:w="10%"/>
            <w:shd w:fill="2C3E50" w:val="clear"/>
            <w:tcMar>
              <w:top w:type="dxa" w:w="60"/>
              <w:left w:type="dxa" w:w="90"/>
              <w:bottom w:type="dxa" w:w="60"/>
              <w:right w:type="dxa" w:w="90"/>
            </w:tcMar>
          </w:tcPr>
          <w:p>
            <w:pPr>
              <w:jc w:val="left"/>
            </w:pPr>
            <w:r>
              <w:rPr>
                <w:b/>
                <w:bCs/>
                <w:color w:val="FFFFFF"/>
              </w:rPr>
              <w:t xml:space="preserve">Sev</w:t>
            </w:r>
          </w:p>
        </w:tc>
        <w:tc>
          <w:tcPr>
            <w:tcW w:type="pct" w:w="16%"/>
            <w:shd w:fill="2C3E50" w:val="clear"/>
            <w:tcMar>
              <w:top w:type="dxa" w:w="60"/>
              <w:left w:type="dxa" w:w="90"/>
              <w:bottom w:type="dxa" w:w="60"/>
              <w:right w:type="dxa" w:w="90"/>
            </w:tcMar>
          </w:tcPr>
          <w:p>
            <w:pPr>
              <w:jc w:val="left"/>
            </w:pPr>
            <w:r>
              <w:rPr>
                <w:b/>
                <w:bCs/>
                <w:color w:val="FFFFFF"/>
              </w:rPr>
              <w:t xml:space="preserve">Area</w:t>
            </w:r>
          </w:p>
        </w:tc>
        <w:tc>
          <w:tcPr>
            <w:tcW w:type="pct" w:w="40%"/>
            <w:shd w:fill="2C3E50" w:val="clear"/>
            <w:tcMar>
              <w:top w:type="dxa" w:w="60"/>
              <w:left w:type="dxa" w:w="90"/>
              <w:bottom w:type="dxa" w:w="60"/>
              <w:right w:type="dxa" w:w="90"/>
            </w:tcMar>
          </w:tcPr>
          <w:p>
            <w:pPr>
              <w:jc w:val="left"/>
            </w:pPr>
            <w:r>
              <w:rPr>
                <w:b/>
                <w:bCs/>
                <w:color w:val="FFFFFF"/>
              </w:rPr>
              <w:t xml:space="preserve">Issue</w:t>
            </w:r>
          </w:p>
        </w:tc>
        <w:tc>
          <w:tcPr>
            <w:tcW w:type="pct" w:w="28%"/>
            <w:shd w:fill="2C3E50" w:val="clear"/>
            <w:tcMar>
              <w:top w:type="dxa" w:w="60"/>
              <w:left w:type="dxa" w:w="90"/>
              <w:bottom w:type="dxa" w:w="60"/>
              <w:right w:type="dxa" w:w="90"/>
            </w:tcMar>
          </w:tcPr>
          <w:p>
            <w:pPr>
              <w:jc w:val="left"/>
            </w:pPr>
            <w:r>
              <w:rPr>
                <w:b/>
                <w:bCs/>
                <w:color w:val="FFFFFF"/>
              </w:rPr>
              <w:t xml:space="preserve">Fix</w:t>
            </w:r>
          </w:p>
        </w:tc>
      </w:tr>
      <w:tr>
        <w:tc>
          <w:tcPr>
            <w:tcW w:type="pct" w:w="6%"/>
            <w:tcMar>
              <w:top w:type="dxa" w:w="60"/>
              <w:left w:type="dxa" w:w="90"/>
              <w:bottom w:type="dxa" w:w="60"/>
              <w:right w:type="dxa" w:w="90"/>
            </w:tcMar>
          </w:tcPr>
          <w:p>
            <w:pPr>
              <w:jc w:val="left"/>
            </w:pPr>
            <w:r>
              <w:rPr>
                <w:b/>
                <w:bCs/>
              </w:rPr>
              <w:t xml:space="preserve">H1</w:t>
            </w:r>
          </w:p>
        </w:tc>
        <w:tc>
          <w:tcPr>
            <w:tcW w:type="pct" w:w="10%"/>
            <w:shd w:fill="E67E22" w:val="clear"/>
            <w:tcMar>
              <w:top w:type="dxa" w:w="60"/>
              <w:left w:type="dxa" w:w="90"/>
              <w:bottom w:type="dxa" w:w="60"/>
              <w:right w:type="dxa" w:w="90"/>
            </w:tcMar>
          </w:tcPr>
          <w:p>
            <w:pPr>
              <w:jc w:val="center"/>
            </w:pPr>
            <w:r>
              <w:rPr>
                <w:b/>
                <w:bCs/>
                <w:color w:val="FFFFFF"/>
              </w:rPr>
              <w:t xml:space="preserve">HIGH</w:t>
            </w:r>
          </w:p>
        </w:tc>
        <w:tc>
          <w:tcPr>
            <w:tcW w:type="pct" w:w="16%"/>
            <w:tcMar>
              <w:top w:type="dxa" w:w="60"/>
              <w:left w:type="dxa" w:w="90"/>
              <w:bottom w:type="dxa" w:w="60"/>
              <w:right w:type="dxa" w:w="90"/>
            </w:tcMar>
          </w:tcPr>
          <w:p>
            <w:pPr>
              <w:jc w:val="left"/>
            </w:pPr>
            <w:r>
              <w:t xml:space="preserve">Reports / Analytics</w:t>
            </w:r>
          </w:p>
        </w:tc>
        <w:tc>
          <w:tcPr>
            <w:tcW w:type="pct" w:w="40%"/>
            <w:tcMar>
              <w:top w:type="dxa" w:w="60"/>
              <w:left w:type="dxa" w:w="90"/>
              <w:bottom w:type="dxa" w:w="60"/>
              <w:right w:type="dxa" w:w="90"/>
            </w:tcMar>
          </w:tcPr>
          <w:p>
            <w:pPr>
              <w:jc w:val="left"/>
            </w:pPr>
            <w:r>
              <w:rPr>
                <w:b/>
                <w:bCs/>
              </w:rPr>
              <w:t xml:space="preserve">Requested by-source / by-client / by-vendor breakdowns and open-job aging report are absent</w:t>
            </w:r>
            <w:r>
              <w:rPr>
                <w:color w:val="566573"/>
                <w:sz w:val="18"/>
                <w:szCs w:val="18"/>
              </w:rPr>
              <w:br/>
              <w:t xml:space="preserve">
PROJECT_REQUIREMENTS §9.11 asks for 'Jobs by source/client/vendor', 'Company/vendor/client-wise performance' and an 'Open job aging report'. These were removed as de-clutter. The Analytics tab still shows Source/Client/Vendor filters (they still constrain the remaining conversion + recruiter figures), but there is no dimension breakdown behind them, so a manager who asks 'show performance by client/vendor' finds nothing.</w:t>
            </w:r>
            <w:r>
              <w:rPr>
                <w:i/>
                <w:iCs/>
                <w:color w:val="7F8C8D"/>
                <w:sz w:val="16"/>
                <w:szCs w:val="16"/>
              </w:rPr>
              <w:br/>
              <w:t xml:space="preserve">
Screen: /reports  ·  src/server/queries/reports.ts (by-dimension queries removed); /reports Analytics tab</w:t>
            </w:r>
          </w:p>
        </w:tc>
        <w:tc>
          <w:tcPr>
            <w:tcW w:type="pct" w:w="28%"/>
            <w:tcMar>
              <w:top w:type="dxa" w:w="60"/>
              <w:left w:type="dxa" w:w="90"/>
              <w:bottom w:type="dxa" w:w="60"/>
              <w:right w:type="dxa" w:w="90"/>
            </w:tcMar>
          </w:tcPr>
          <w:p>
            <w:pPr>
              <w:jc w:val="left"/>
            </w:pPr>
            <w:r>
              <w:rPr>
                <w:color w:val="1A5276"/>
              </w:rPr>
              <w:t xml:space="preserve">Restore a lightweight jobs-by-client/vendor/source table + open-job-aging, or drop the now-thin filters so the tab matches what it delivers.</w:t>
            </w:r>
          </w:p>
        </w:tc>
      </w:tr>
      <w:tr>
        <w:tc>
          <w:tcPr>
            <w:tcW w:type="pct" w:w="6%"/>
            <w:tcMar>
              <w:top w:type="dxa" w:w="60"/>
              <w:left w:type="dxa" w:w="90"/>
              <w:bottom w:type="dxa" w:w="60"/>
              <w:right w:type="dxa" w:w="90"/>
            </w:tcMar>
          </w:tcPr>
          <w:p>
            <w:pPr>
              <w:jc w:val="left"/>
            </w:pPr>
            <w:r>
              <w:rPr>
                <w:b/>
                <w:bCs/>
              </w:rPr>
              <w:t xml:space="preserve">H2</w:t>
            </w:r>
          </w:p>
        </w:tc>
        <w:tc>
          <w:tcPr>
            <w:tcW w:type="pct" w:w="10%"/>
            <w:shd w:fill="E67E22" w:val="clear"/>
            <w:tcMar>
              <w:top w:type="dxa" w:w="60"/>
              <w:left w:type="dxa" w:w="90"/>
              <w:bottom w:type="dxa" w:w="60"/>
              <w:right w:type="dxa" w:w="90"/>
            </w:tcMar>
          </w:tcPr>
          <w:p>
            <w:pPr>
              <w:jc w:val="center"/>
            </w:pPr>
            <w:r>
              <w:rPr>
                <w:b/>
                <w:bCs/>
                <w:color w:val="FFFFFF"/>
              </w:rPr>
              <w:t xml:space="preserve">HIGH</w:t>
            </w:r>
          </w:p>
        </w:tc>
        <w:tc>
          <w:tcPr>
            <w:tcW w:type="pct" w:w="16%"/>
            <w:tcMar>
              <w:top w:type="dxa" w:w="60"/>
              <w:left w:type="dxa" w:w="90"/>
              <w:bottom w:type="dxa" w:w="60"/>
              <w:right w:type="dxa" w:w="90"/>
            </w:tcMar>
          </w:tcPr>
          <w:p>
            <w:pPr>
              <w:jc w:val="left"/>
            </w:pPr>
            <w:r>
              <w:t xml:space="preserve">Reports / Monthly Performance</w:t>
            </w:r>
          </w:p>
        </w:tc>
        <w:tc>
          <w:tcPr>
            <w:tcW w:type="pct" w:w="40%"/>
            <w:tcMar>
              <w:top w:type="dxa" w:w="60"/>
              <w:left w:type="dxa" w:w="90"/>
              <w:bottom w:type="dxa" w:w="60"/>
              <w:right w:type="dxa" w:w="90"/>
            </w:tcMar>
          </w:tcPr>
          <w:p>
            <w:pPr>
              <w:jc w:val="left"/>
            </w:pPr>
            <w:r>
              <w:rPr>
                <w:b/>
                <w:bCs/>
              </w:rPr>
              <w:t xml:space="preserve">Scorecard metrics rest on shaky/unconfirmed definitions (Backouts, New vendors, Closures)</w:t>
            </w:r>
            <w:r>
              <w:rPr>
                <w:color w:val="566573"/>
                <w:sz w:val="18"/>
                <w:szCs w:val="18"/>
              </w:rPr>
              <w:br/>
              <w:t xml:space="preserve">
Backouts are bucketed on the submission's submittedAt week, not the week the back-out happened, so they can land in the wrong week. 'New vendors' (company-wide first-ever) reads 0 for any re-touched vendor, and 'Closures' uses placement startDate as a proxy - both are gated on still-open owner questions. This is the single most likely surface to show a number a client disputes on stage.</w:t>
            </w:r>
            <w:r>
              <w:rPr>
                <w:i/>
                <w:iCs/>
                <w:color w:val="7F8C8D"/>
                <w:sz w:val="16"/>
                <w:szCs w:val="16"/>
              </w:rPr>
              <w:br/>
              <w:t xml:space="preserve">
Screen: /reports?tab=monthly  ·  src/server/queries/monthly-scorecard.ts (~:199-223)</w:t>
            </w:r>
          </w:p>
        </w:tc>
        <w:tc>
          <w:tcPr>
            <w:tcW w:type="pct" w:w="28%"/>
            <w:tcMar>
              <w:top w:type="dxa" w:w="60"/>
              <w:left w:type="dxa" w:w="90"/>
              <w:bottom w:type="dxa" w:w="60"/>
              <w:right w:type="dxa" w:w="90"/>
            </w:tcMar>
          </w:tcPr>
          <w:p>
            <w:pPr>
              <w:jc w:val="left"/>
            </w:pPr>
            <w:r>
              <w:rPr>
                <w:color w:val="1A5276"/>
              </w:rPr>
              <w:t xml:space="preserve">Before demo: fix Backouts to bucket on the back-out event date and confirm New-vendors/Closures semantics with the owner, OR hide/caveat the Monthly Performance tab for this demo.</w:t>
            </w:r>
          </w:p>
        </w:tc>
      </w:tr>
      <w:tr>
        <w:tc>
          <w:tcPr>
            <w:tcW w:type="pct" w:w="6%"/>
            <w:tcMar>
              <w:top w:type="dxa" w:w="60"/>
              <w:left w:type="dxa" w:w="90"/>
              <w:bottom w:type="dxa" w:w="60"/>
              <w:right w:type="dxa" w:w="90"/>
            </w:tcMar>
          </w:tcPr>
          <w:p>
            <w:pPr>
              <w:jc w:val="left"/>
            </w:pPr>
            <w:r>
              <w:rPr>
                <w:b/>
                <w:bCs/>
              </w:rPr>
              <w:t xml:space="preserve">H3</w:t>
            </w:r>
          </w:p>
        </w:tc>
        <w:tc>
          <w:tcPr>
            <w:tcW w:type="pct" w:w="10%"/>
            <w:shd w:fill="E67E22" w:val="clear"/>
            <w:tcMar>
              <w:top w:type="dxa" w:w="60"/>
              <w:left w:type="dxa" w:w="90"/>
              <w:bottom w:type="dxa" w:w="60"/>
              <w:right w:type="dxa" w:w="90"/>
            </w:tcMar>
          </w:tcPr>
          <w:p>
            <w:pPr>
              <w:jc w:val="center"/>
            </w:pPr>
            <w:r>
              <w:rPr>
                <w:b/>
                <w:bCs/>
                <w:color w:val="FFFFFF"/>
              </w:rPr>
              <w:t xml:space="preserve">HIGH</w:t>
            </w:r>
          </w:p>
        </w:tc>
        <w:tc>
          <w:tcPr>
            <w:tcW w:type="pct" w:w="16%"/>
            <w:tcMar>
              <w:top w:type="dxa" w:w="60"/>
              <w:left w:type="dxa" w:w="90"/>
              <w:bottom w:type="dxa" w:w="60"/>
              <w:right w:type="dxa" w:w="90"/>
            </w:tcMar>
          </w:tcPr>
          <w:p>
            <w:pPr>
              <w:jc w:val="left"/>
            </w:pPr>
            <w:r>
              <w:t xml:space="preserve">Environment / Files</w:t>
            </w:r>
          </w:p>
        </w:tc>
        <w:tc>
          <w:tcPr>
            <w:tcW w:type="pct" w:w="40%"/>
            <w:tcMar>
              <w:top w:type="dxa" w:w="60"/>
              <w:left w:type="dxa" w:w="90"/>
              <w:bottom w:type="dxa" w:w="60"/>
              <w:right w:type="dxa" w:w="90"/>
            </w:tcMar>
          </w:tcPr>
          <w:p>
            <w:pPr>
              <w:jc w:val="left"/>
            </w:pPr>
            <w:r>
              <w:rPr>
                <w:b/>
                <w:bCs/>
              </w:rPr>
              <w:t xml:space="preserve">Résumé &amp; document upload depends on BLOB_READ_WRITE_TOKEN, which is missing from .env.example</w:t>
            </w:r>
            <w:r>
              <w:rPr>
                <w:color w:val="566573"/>
                <w:sz w:val="18"/>
                <w:szCs w:val="18"/>
              </w:rPr>
              <w:br/>
              <w:t xml:space="preserve">
Uploads and the private serve routes require BLOB_READ_WRITE_TOKEN. It IS set in this machine's .env (verified: résumé + document routes return 200 application/pdf gzip), so the demo works HERE. But the token is absent from .env.example, so a fresh clone, a teammate's machine, or a Vercel preview will silently fail every upload with no obvious error.</w:t>
            </w:r>
            <w:r>
              <w:rPr>
                <w:i/>
                <w:iCs/>
                <w:color w:val="7F8C8D"/>
                <w:sz w:val="16"/>
                <w:szCs w:val="16"/>
              </w:rPr>
              <w:br/>
              <w:t xml:space="preserve">
Screen: candidate detail (résumé upload), submission new (inline upload)  ·  .env has token; .env.example does not; src/server/blob-upload.ts, api/resumes/[id], api/documents/[id]</w:t>
            </w:r>
          </w:p>
        </w:tc>
        <w:tc>
          <w:tcPr>
            <w:tcW w:type="pct" w:w="28%"/>
            <w:tcMar>
              <w:top w:type="dxa" w:w="60"/>
              <w:left w:type="dxa" w:w="90"/>
              <w:bottom w:type="dxa" w:w="60"/>
              <w:right w:type="dxa" w:w="90"/>
            </w:tcMar>
          </w:tcPr>
          <w:p>
            <w:pPr>
              <w:jc w:val="left"/>
            </w:pPr>
            <w:r>
              <w:rPr>
                <w:color w:val="1A5276"/>
              </w:rPr>
              <w:t xml:space="preserve">Add BLOB_READ_WRITE_TOKEN (documented placeholder) to .env.example and confirm it is set wherever the demo actually runs.</w:t>
            </w:r>
          </w:p>
        </w:tc>
      </w:tr>
      <w:tr>
        <w:tc>
          <w:tcPr>
            <w:tcW w:type="pct" w:w="6%"/>
            <w:tcMar>
              <w:top w:type="dxa" w:w="60"/>
              <w:left w:type="dxa" w:w="90"/>
              <w:bottom w:type="dxa" w:w="60"/>
              <w:right w:type="dxa" w:w="90"/>
            </w:tcMar>
          </w:tcPr>
          <w:p>
            <w:pPr>
              <w:jc w:val="left"/>
            </w:pPr>
            <w:r>
              <w:rPr>
                <w:b/>
                <w:bCs/>
              </w:rPr>
              <w:t xml:space="preserve">H4</w:t>
            </w:r>
          </w:p>
        </w:tc>
        <w:tc>
          <w:tcPr>
            <w:tcW w:type="pct" w:w="10%"/>
            <w:shd w:fill="E67E22" w:val="clear"/>
            <w:tcMar>
              <w:top w:type="dxa" w:w="60"/>
              <w:left w:type="dxa" w:w="90"/>
              <w:bottom w:type="dxa" w:w="60"/>
              <w:right w:type="dxa" w:w="90"/>
            </w:tcMar>
          </w:tcPr>
          <w:p>
            <w:pPr>
              <w:jc w:val="center"/>
            </w:pPr>
            <w:r>
              <w:rPr>
                <w:b/>
                <w:bCs/>
                <w:color w:val="FFFFFF"/>
              </w:rPr>
              <w:t xml:space="preserve">HIGH</w:t>
            </w:r>
          </w:p>
        </w:tc>
        <w:tc>
          <w:tcPr>
            <w:tcW w:type="pct" w:w="16%"/>
            <w:tcMar>
              <w:top w:type="dxa" w:w="60"/>
              <w:left w:type="dxa" w:w="90"/>
              <w:bottom w:type="dxa" w:w="60"/>
              <w:right w:type="dxa" w:w="90"/>
            </w:tcMar>
          </w:tcPr>
          <w:p>
            <w:pPr>
              <w:jc w:val="left"/>
            </w:pPr>
            <w:r>
              <w:t xml:space="preserve">Flow / Redundancy</w:t>
            </w:r>
          </w:p>
        </w:tc>
        <w:tc>
          <w:tcPr>
            <w:tcW w:type="pct" w:w="40%"/>
            <w:tcMar>
              <w:top w:type="dxa" w:w="60"/>
              <w:left w:type="dxa" w:w="90"/>
              <w:bottom w:type="dxa" w:w="60"/>
              <w:right w:type="dxa" w:w="90"/>
            </w:tcMar>
          </w:tcPr>
          <w:p>
            <w:pPr>
              <w:jc w:val="left"/>
            </w:pPr>
            <w:r>
              <w:rPr>
                <w:b/>
                <w:bCs/>
              </w:rPr>
              <w:t xml:space="preserve">Job's Client rate is not carried into the VPR form - team lead re-types it</w:t>
            </w:r>
            <w:r>
              <w:rPr>
                <w:color w:val="566573"/>
                <w:sz w:val="18"/>
                <w:szCs w:val="18"/>
              </w:rPr>
              <w:br/>
              <w:t xml:space="preserve">
The Job captures Client rate (and optionally vendor/candidate rate). The VPR 'new' page loads the job but forwards only 'location' as a default; clientRate is never pre-filled, so it is re-keyed by hand. This is both a friction point and a transcription-error risk (the client rate could be entered differently at the VPR than the job).</w:t>
            </w:r>
            <w:r>
              <w:rPr>
                <w:i/>
                <w:iCs/>
                <w:color w:val="7F8C8D"/>
                <w:sz w:val="16"/>
                <w:szCs w:val="16"/>
              </w:rPr>
              <w:br/>
              <w:t xml:space="preserve">
Screen: /vendor-portal/new  ·  src/app/(dashboard)/vendor-portal/new/page.tsx:135 (defaults only location); requirement-form.tsx:206-259</w:t>
            </w:r>
          </w:p>
        </w:tc>
        <w:tc>
          <w:tcPr>
            <w:tcW w:type="pct" w:w="28%"/>
            <w:tcMar>
              <w:top w:type="dxa" w:w="60"/>
              <w:left w:type="dxa" w:w="90"/>
              <w:bottom w:type="dxa" w:w="60"/>
              <w:right w:type="dxa" w:w="90"/>
            </w:tcMar>
          </w:tcPr>
          <w:p>
            <w:pPr>
              <w:jc w:val="left"/>
            </w:pPr>
            <w:r>
              <w:rPr>
                <w:color w:val="1A5276"/>
              </w:rPr>
              <w:t xml:space="preserve">Select job.clientRate and pass it as defaults.clientRate (editable), matching the existing location carry-forward.</w:t>
            </w:r>
          </w:p>
        </w:tc>
      </w:tr>
      <w:tr>
        <w:tc>
          <w:tcPr>
            <w:tcW w:type="pct" w:w="6%"/>
            <w:tcMar>
              <w:top w:type="dxa" w:w="60"/>
              <w:left w:type="dxa" w:w="90"/>
              <w:bottom w:type="dxa" w:w="60"/>
              <w:right w:type="dxa" w:w="90"/>
            </w:tcMar>
          </w:tcPr>
          <w:p>
            <w:pPr>
              <w:jc w:val="left"/>
            </w:pPr>
            <w:r>
              <w:rPr>
                <w:b/>
                <w:bCs/>
              </w:rPr>
              <w:t xml:space="preserve">M1</w:t>
            </w:r>
          </w:p>
        </w:tc>
        <w:tc>
          <w:tcPr>
            <w:tcW w:type="pct" w:w="10%"/>
            <w:shd w:fill="F1C40F" w:val="clear"/>
            <w:tcMar>
              <w:top w:type="dxa" w:w="60"/>
              <w:left w:type="dxa" w:w="90"/>
              <w:bottom w:type="dxa" w:w="60"/>
              <w:right w:type="dxa" w:w="90"/>
            </w:tcMar>
          </w:tcPr>
          <w:p>
            <w:pPr>
              <w:jc w:val="center"/>
            </w:pPr>
            <w:r>
              <w:rPr>
                <w:b/>
                <w:bCs/>
                <w:color w:val="000000"/>
              </w:rPr>
              <w:t xml:space="preserve">MEDIUM</w:t>
            </w:r>
          </w:p>
        </w:tc>
        <w:tc>
          <w:tcPr>
            <w:tcW w:type="pct" w:w="16%"/>
            <w:tcMar>
              <w:top w:type="dxa" w:w="60"/>
              <w:left w:type="dxa" w:w="90"/>
              <w:bottom w:type="dxa" w:w="60"/>
              <w:right w:type="dxa" w:w="90"/>
            </w:tcMar>
          </w:tcPr>
          <w:p>
            <w:pPr>
              <w:jc w:val="left"/>
            </w:pPr>
            <w:r>
              <w:t xml:space="preserve">Reports / Dashboard</w:t>
            </w:r>
          </w:p>
        </w:tc>
        <w:tc>
          <w:tcPr>
            <w:tcW w:type="pct" w:w="40%"/>
            <w:tcMar>
              <w:top w:type="dxa" w:w="60"/>
              <w:left w:type="dxa" w:w="90"/>
              <w:bottom w:type="dxa" w:w="60"/>
              <w:right w:type="dxa" w:w="90"/>
            </w:tcMar>
          </w:tcPr>
          <w:p>
            <w:pPr>
              <w:jc w:val="left"/>
            </w:pPr>
            <w:r>
              <w:rPr>
                <w:b/>
                <w:bCs/>
              </w:rPr>
              <w:t xml:space="preserve">'Interviews' means different things on different screens (81 rounds vs 49 interviewed submissions)</w:t>
            </w:r>
            <w:r>
              <w:rPr>
                <w:color w:val="566573"/>
                <w:sz w:val="18"/>
                <w:szCs w:val="18"/>
              </w:rPr>
              <w:br/>
              <w:t xml:space="preserve">
Dashboard KPI 'Interviews = 81' counts interview ROUNDS; Reports says '49 of 160 submissions reached an interview' (distinct submissions); Monthly Performance counts rounds scheduled in the month. All three are internally correct but share the label 'Interviews', inviting a 'why don't these match?' question in a live demo.</w:t>
            </w:r>
            <w:r>
              <w:rPr>
                <w:i/>
                <w:iCs/>
                <w:color w:val="7F8C8D"/>
                <w:sz w:val="16"/>
                <w:szCs w:val="16"/>
              </w:rPr>
              <w:br/>
              <w:t xml:space="preserve">
Screen: /, /reports, /reports?tab=monthly  ·  dashboard.ts (rounds) vs reports.ts (distinct submissions) vs monthly-scorecard.ts (rounds/month)</w:t>
            </w:r>
          </w:p>
        </w:tc>
        <w:tc>
          <w:tcPr>
            <w:tcW w:type="pct" w:w="28%"/>
            <w:tcMar>
              <w:top w:type="dxa" w:w="60"/>
              <w:left w:type="dxa" w:w="90"/>
              <w:bottom w:type="dxa" w:w="60"/>
              <w:right w:type="dxa" w:w="90"/>
            </w:tcMar>
          </w:tcPr>
          <w:p>
            <w:pPr>
              <w:jc w:val="left"/>
            </w:pPr>
            <w:r>
              <w:rPr>
                <w:color w:val="1A5276"/>
              </w:rPr>
              <w:t xml:space="preserve">Relabel to disambiguate: 'Interview rounds' vs 'Candidates interviewed'.</w:t>
            </w:r>
          </w:p>
        </w:tc>
      </w:tr>
      <w:tr>
        <w:tc>
          <w:tcPr>
            <w:tcW w:type="pct" w:w="6%"/>
            <w:tcMar>
              <w:top w:type="dxa" w:w="60"/>
              <w:left w:type="dxa" w:w="90"/>
              <w:bottom w:type="dxa" w:w="60"/>
              <w:right w:type="dxa" w:w="90"/>
            </w:tcMar>
          </w:tcPr>
          <w:p>
            <w:pPr>
              <w:jc w:val="left"/>
            </w:pPr>
            <w:r>
              <w:rPr>
                <w:b/>
                <w:bCs/>
              </w:rPr>
              <w:t xml:space="preserve">M2</w:t>
            </w:r>
          </w:p>
        </w:tc>
        <w:tc>
          <w:tcPr>
            <w:tcW w:type="pct" w:w="10%"/>
            <w:shd w:fill="F1C40F" w:val="clear"/>
            <w:tcMar>
              <w:top w:type="dxa" w:w="60"/>
              <w:left w:type="dxa" w:w="90"/>
              <w:bottom w:type="dxa" w:w="60"/>
              <w:right w:type="dxa" w:w="90"/>
            </w:tcMar>
          </w:tcPr>
          <w:p>
            <w:pPr>
              <w:jc w:val="center"/>
            </w:pPr>
            <w:r>
              <w:rPr>
                <w:b/>
                <w:bCs/>
                <w:color w:val="000000"/>
              </w:rPr>
              <w:t xml:space="preserve">MEDIUM</w:t>
            </w:r>
          </w:p>
        </w:tc>
        <w:tc>
          <w:tcPr>
            <w:tcW w:type="pct" w:w="16%"/>
            <w:tcMar>
              <w:top w:type="dxa" w:w="60"/>
              <w:left w:type="dxa" w:w="90"/>
              <w:bottom w:type="dxa" w:w="60"/>
              <w:right w:type="dxa" w:w="90"/>
            </w:tcMar>
          </w:tcPr>
          <w:p>
            <w:pPr>
              <w:jc w:val="left"/>
            </w:pPr>
            <w:r>
              <w:t xml:space="preserve">Jobs list</w:t>
            </w:r>
          </w:p>
        </w:tc>
        <w:tc>
          <w:tcPr>
            <w:tcW w:type="pct" w:w="40%"/>
            <w:tcMar>
              <w:top w:type="dxa" w:w="60"/>
              <w:left w:type="dxa" w:w="90"/>
              <w:bottom w:type="dxa" w:w="60"/>
              <w:right w:type="dxa" w:w="90"/>
            </w:tcMar>
          </w:tcPr>
          <w:p>
            <w:pPr>
              <w:jc w:val="left"/>
            </w:pPr>
            <w:r>
              <w:rPr>
                <w:b/>
                <w:bCs/>
              </w:rPr>
              <w:t xml:space="preserve">Jobs list lacks per-row #interviews / #selected / #joined columns</w:t>
            </w:r>
            <w:r>
              <w:rPr>
                <w:color w:val="566573"/>
                <w:sz w:val="18"/>
                <w:szCs w:val="18"/>
              </w:rPr>
              <w:br/>
              <w:t xml:space="preserve">
Spec §9.2 asks each job row to show number of interviews, number selected, number joined. Only #submissions is present.</w:t>
            </w:r>
            <w:r>
              <w:rPr>
                <w:i/>
                <w:iCs/>
                <w:color w:val="7F8C8D"/>
                <w:sz w:val="16"/>
                <w:szCs w:val="16"/>
              </w:rPr>
              <w:br/>
              <w:t xml:space="preserve">
Screen: /jobs  ·  src/components/jobs/jobs-table.tsx:151 (Subs only)</w:t>
            </w:r>
          </w:p>
        </w:tc>
        <w:tc>
          <w:tcPr>
            <w:tcW w:type="pct" w:w="28%"/>
            <w:tcMar>
              <w:top w:type="dxa" w:w="60"/>
              <w:left w:type="dxa" w:w="90"/>
              <w:bottom w:type="dxa" w:w="60"/>
              <w:right w:type="dxa" w:w="90"/>
            </w:tcMar>
          </w:tcPr>
          <w:p>
            <w:pPr>
              <w:jc w:val="left"/>
            </w:pPr>
            <w:r>
              <w:rPr>
                <w:color w:val="1A5276"/>
              </w:rPr>
              <w:t xml:space="preserve">Add the three count columns (hidden-by-default via the existing ColumnsMenu is fine).</w:t>
            </w:r>
          </w:p>
        </w:tc>
      </w:tr>
      <w:tr>
        <w:tc>
          <w:tcPr>
            <w:tcW w:type="pct" w:w="6%"/>
            <w:tcMar>
              <w:top w:type="dxa" w:w="60"/>
              <w:left w:type="dxa" w:w="90"/>
              <w:bottom w:type="dxa" w:w="60"/>
              <w:right w:type="dxa" w:w="90"/>
            </w:tcMar>
          </w:tcPr>
          <w:p>
            <w:pPr>
              <w:jc w:val="left"/>
            </w:pPr>
            <w:r>
              <w:rPr>
                <w:b/>
                <w:bCs/>
              </w:rPr>
              <w:t xml:space="preserve">M3</w:t>
            </w:r>
          </w:p>
        </w:tc>
        <w:tc>
          <w:tcPr>
            <w:tcW w:type="pct" w:w="10%"/>
            <w:shd w:fill="F1C40F" w:val="clear"/>
            <w:tcMar>
              <w:top w:type="dxa" w:w="60"/>
              <w:left w:type="dxa" w:w="90"/>
              <w:bottom w:type="dxa" w:w="60"/>
              <w:right w:type="dxa" w:w="90"/>
            </w:tcMar>
          </w:tcPr>
          <w:p>
            <w:pPr>
              <w:jc w:val="center"/>
            </w:pPr>
            <w:r>
              <w:rPr>
                <w:b/>
                <w:bCs/>
                <w:color w:val="000000"/>
              </w:rPr>
              <w:t xml:space="preserve">MEDIUM</w:t>
            </w:r>
          </w:p>
        </w:tc>
        <w:tc>
          <w:tcPr>
            <w:tcW w:type="pct" w:w="16%"/>
            <w:tcMar>
              <w:top w:type="dxa" w:w="60"/>
              <w:left w:type="dxa" w:w="90"/>
              <w:bottom w:type="dxa" w:w="60"/>
              <w:right w:type="dxa" w:w="90"/>
            </w:tcMar>
          </w:tcPr>
          <w:p>
            <w:pPr>
              <w:jc w:val="left"/>
            </w:pPr>
            <w:r>
              <w:t xml:space="preserve">Interviews roll-up</w:t>
            </w:r>
          </w:p>
        </w:tc>
        <w:tc>
          <w:tcPr>
            <w:tcW w:type="pct" w:w="40%"/>
            <w:tcMar>
              <w:top w:type="dxa" w:w="60"/>
              <w:left w:type="dxa" w:w="90"/>
              <w:bottom w:type="dxa" w:w="60"/>
              <w:right w:type="dxa" w:w="90"/>
            </w:tcMar>
          </w:tcPr>
          <w:p>
            <w:pPr>
              <w:jc w:val="left"/>
            </w:pPr>
            <w:r>
              <w:rPr>
                <w:b/>
                <w:bCs/>
              </w:rPr>
              <w:t xml:space="preserve">Interviews list missing Vendor, Location, and Remarks columns</w:t>
            </w:r>
            <w:r>
              <w:rPr>
                <w:color w:val="566573"/>
                <w:sz w:val="18"/>
                <w:szCs w:val="18"/>
              </w:rPr>
              <w:br/>
              <w:t xml:space="preserve">
The June-19 'Interviews' tab lists Vendor, Location, and Remarks; the /interviews roll-up omits them.</w:t>
            </w:r>
            <w:r>
              <w:rPr>
                <w:i/>
                <w:iCs/>
                <w:color w:val="7F8C8D"/>
                <w:sz w:val="16"/>
                <w:szCs w:val="16"/>
              </w:rPr>
              <w:br/>
              <w:t xml:space="preserve">
Screen: /interviews  ·  src/components/interviews/interviews-table.tsx</w:t>
            </w:r>
          </w:p>
        </w:tc>
        <w:tc>
          <w:tcPr>
            <w:tcW w:type="pct" w:w="28%"/>
            <w:tcMar>
              <w:top w:type="dxa" w:w="60"/>
              <w:left w:type="dxa" w:w="90"/>
              <w:bottom w:type="dxa" w:w="60"/>
              <w:right w:type="dxa" w:w="90"/>
            </w:tcMar>
          </w:tcPr>
          <w:p>
            <w:pPr>
              <w:jc w:val="left"/>
            </w:pPr>
            <w:r>
              <w:rPr>
                <w:color w:val="1A5276"/>
              </w:rPr>
              <w:t xml:space="preserve">Add Vendor + Location + Remarks (Remarks can map to round feedback/notes).</w:t>
            </w:r>
          </w:p>
        </w:tc>
      </w:tr>
      <w:tr>
        <w:tc>
          <w:tcPr>
            <w:tcW w:type="pct" w:w="6%"/>
            <w:tcMar>
              <w:top w:type="dxa" w:w="60"/>
              <w:left w:type="dxa" w:w="90"/>
              <w:bottom w:type="dxa" w:w="60"/>
              <w:right w:type="dxa" w:w="90"/>
            </w:tcMar>
          </w:tcPr>
          <w:p>
            <w:pPr>
              <w:jc w:val="left"/>
            </w:pPr>
            <w:r>
              <w:rPr>
                <w:b/>
                <w:bCs/>
              </w:rPr>
              <w:t xml:space="preserve">M4</w:t>
            </w:r>
          </w:p>
        </w:tc>
        <w:tc>
          <w:tcPr>
            <w:tcW w:type="pct" w:w="10%"/>
            <w:shd w:fill="F1C40F" w:val="clear"/>
            <w:tcMar>
              <w:top w:type="dxa" w:w="60"/>
              <w:left w:type="dxa" w:w="90"/>
              <w:bottom w:type="dxa" w:w="60"/>
              <w:right w:type="dxa" w:w="90"/>
            </w:tcMar>
          </w:tcPr>
          <w:p>
            <w:pPr>
              <w:jc w:val="center"/>
            </w:pPr>
            <w:r>
              <w:rPr>
                <w:b/>
                <w:bCs/>
                <w:color w:val="000000"/>
              </w:rPr>
              <w:t xml:space="preserve">MEDIUM</w:t>
            </w:r>
          </w:p>
        </w:tc>
        <w:tc>
          <w:tcPr>
            <w:tcW w:type="pct" w:w="16%"/>
            <w:tcMar>
              <w:top w:type="dxa" w:w="60"/>
              <w:left w:type="dxa" w:w="90"/>
              <w:bottom w:type="dxa" w:w="60"/>
              <w:right w:type="dxa" w:w="90"/>
            </w:tcMar>
          </w:tcPr>
          <w:p>
            <w:pPr>
              <w:jc w:val="left"/>
            </w:pPr>
            <w:r>
              <w:t xml:space="preserve">Dashboard</w:t>
            </w:r>
          </w:p>
        </w:tc>
        <w:tc>
          <w:tcPr>
            <w:tcW w:type="pct" w:w="40%"/>
            <w:tcMar>
              <w:top w:type="dxa" w:w="60"/>
              <w:left w:type="dxa" w:w="90"/>
              <w:bottom w:type="dxa" w:w="60"/>
              <w:right w:type="dxa" w:w="90"/>
            </w:tcMar>
          </w:tcPr>
          <w:p>
            <w:pPr>
              <w:jc w:val="left"/>
            </w:pPr>
            <w:r>
              <w:rPr>
                <w:b/>
                <w:bCs/>
              </w:rPr>
              <w:t xml:space="preserve">Dashboard missing 'Jobs by sister-company source' and 'Aging jobs'</w:t>
            </w:r>
            <w:r>
              <w:rPr>
                <w:color w:val="566573"/>
                <w:sz w:val="18"/>
                <w:szCs w:val="18"/>
              </w:rPr>
              <w:br/>
              <w:t xml:space="preserve">
Spec §9.1 lists both; neither is rendered (source filter exists but no metric; aging logic not surfaced).</w:t>
            </w:r>
            <w:r>
              <w:rPr>
                <w:i/>
                <w:iCs/>
                <w:color w:val="7F8C8D"/>
                <w:sz w:val="16"/>
                <w:szCs w:val="16"/>
              </w:rPr>
              <w:br/>
              <w:t xml:space="preserve">
Screen: /  ·  src/server/queries/dashboard.ts; app/(dashboard)/page.tsx</w:t>
            </w:r>
          </w:p>
        </w:tc>
        <w:tc>
          <w:tcPr>
            <w:tcW w:type="pct" w:w="28%"/>
            <w:tcMar>
              <w:top w:type="dxa" w:w="60"/>
              <w:left w:type="dxa" w:w="90"/>
              <w:bottom w:type="dxa" w:w="60"/>
              <w:right w:type="dxa" w:w="90"/>
            </w:tcMar>
          </w:tcPr>
          <w:p>
            <w:pPr>
              <w:jc w:val="left"/>
            </w:pPr>
            <w:r>
              <w:rPr>
                <w:color w:val="1A5276"/>
              </w:rPr>
              <w:t xml:space="preserve">Add a small Jobs-by-source bar and an aging-jobs count, or note as intentionally deferred.</w:t>
            </w:r>
          </w:p>
        </w:tc>
      </w:tr>
      <w:tr>
        <w:tc>
          <w:tcPr>
            <w:tcW w:type="pct" w:w="6%"/>
            <w:tcMar>
              <w:top w:type="dxa" w:w="60"/>
              <w:left w:type="dxa" w:w="90"/>
              <w:bottom w:type="dxa" w:w="60"/>
              <w:right w:type="dxa" w:w="90"/>
            </w:tcMar>
          </w:tcPr>
          <w:p>
            <w:pPr>
              <w:jc w:val="left"/>
            </w:pPr>
            <w:r>
              <w:rPr>
                <w:b/>
                <w:bCs/>
              </w:rPr>
              <w:t xml:space="preserve">M5</w:t>
            </w:r>
          </w:p>
        </w:tc>
        <w:tc>
          <w:tcPr>
            <w:tcW w:type="pct" w:w="10%"/>
            <w:shd w:fill="F1C40F" w:val="clear"/>
            <w:tcMar>
              <w:top w:type="dxa" w:w="60"/>
              <w:left w:type="dxa" w:w="90"/>
              <w:bottom w:type="dxa" w:w="60"/>
              <w:right w:type="dxa" w:w="90"/>
            </w:tcMar>
          </w:tcPr>
          <w:p>
            <w:pPr>
              <w:jc w:val="center"/>
            </w:pPr>
            <w:r>
              <w:rPr>
                <w:b/>
                <w:bCs/>
                <w:color w:val="000000"/>
              </w:rPr>
              <w:t xml:space="preserve">MEDIUM</w:t>
            </w:r>
          </w:p>
        </w:tc>
        <w:tc>
          <w:tcPr>
            <w:tcW w:type="pct" w:w="16%"/>
            <w:tcMar>
              <w:top w:type="dxa" w:w="60"/>
              <w:left w:type="dxa" w:w="90"/>
              <w:bottom w:type="dxa" w:w="60"/>
              <w:right w:type="dxa" w:w="90"/>
            </w:tcMar>
          </w:tcPr>
          <w:p>
            <w:pPr>
              <w:jc w:val="left"/>
            </w:pPr>
            <w:r>
              <w:t xml:space="preserve">RBAC / product decision</w:t>
            </w:r>
          </w:p>
        </w:tc>
        <w:tc>
          <w:tcPr>
            <w:tcW w:type="pct" w:w="40%"/>
            <w:tcMar>
              <w:top w:type="dxa" w:w="60"/>
              <w:left w:type="dxa" w:w="90"/>
              <w:bottom w:type="dxa" w:w="60"/>
              <w:right w:type="dxa" w:w="90"/>
            </w:tcMar>
          </w:tcPr>
          <w:p>
            <w:pPr>
              <w:jc w:val="left"/>
            </w:pPr>
            <w:r>
              <w:rPr>
                <w:b/>
                <w:bCs/>
              </w:rPr>
              <w:t xml:space="preserve">Recruiter can open 'Add job' and view the Settings page (read-only)</w:t>
            </w:r>
            <w:r>
              <w:rPr>
                <w:color w:val="566573"/>
                <w:sz w:val="18"/>
                <w:szCs w:val="18"/>
              </w:rPr>
              <w:br/>
              <w:t xml:space="preserve">
createJob is not admin-gated, so a recruiter can create a job; the Settings page renders read-only lists for recruiters (write controls are correctly isAdmin-gated, so nothing breaks on click, and Export/Audit are Forbidden). This matches the original MVP ('everyone can add/edit') but sits oddly with the new three-tier framing where jobs originate with the team lead. Not a security leak - a product decision to confirm.</w:t>
            </w:r>
            <w:r>
              <w:rPr>
                <w:i/>
                <w:iCs/>
                <w:color w:val="7F8C8D"/>
                <w:sz w:val="16"/>
                <w:szCs w:val="16"/>
              </w:rPr>
              <w:br/>
              <w:t xml:space="preserve">
Screen: /jobs/new, /settings  ·  src/server/actions/jobs.ts (no role guard on create); settings/page.tsx:39 isAdmin gating; recruiter probe: /settings/export + /audit =&gt; 'Forbidden'</w:t>
            </w:r>
          </w:p>
        </w:tc>
        <w:tc>
          <w:tcPr>
            <w:tcW w:type="pct" w:w="28%"/>
            <w:tcMar>
              <w:top w:type="dxa" w:w="60"/>
              <w:left w:type="dxa" w:w="90"/>
              <w:bottom w:type="dxa" w:w="60"/>
              <w:right w:type="dxa" w:w="90"/>
            </w:tcMar>
          </w:tcPr>
          <w:p>
            <w:pPr>
              <w:jc w:val="left"/>
            </w:pPr>
            <w:r>
              <w:rPr>
                <w:color w:val="1A5276"/>
              </w:rPr>
              <w:t xml:space="preserve">Confirm intended policy with the client; if jobs are team-lead-only, gate createJob and hide the Settings nav for recruiters.</w:t>
            </w:r>
          </w:p>
        </w:tc>
      </w:tr>
      <w:tr>
        <w:tc>
          <w:tcPr>
            <w:tcW w:type="pct" w:w="6%"/>
            <w:tcMar>
              <w:top w:type="dxa" w:w="60"/>
              <w:left w:type="dxa" w:w="90"/>
              <w:bottom w:type="dxa" w:w="60"/>
              <w:right w:type="dxa" w:w="90"/>
            </w:tcMar>
          </w:tcPr>
          <w:p>
            <w:pPr>
              <w:jc w:val="left"/>
            </w:pPr>
            <w:r>
              <w:rPr>
                <w:b/>
                <w:bCs/>
              </w:rPr>
              <w:t xml:space="preserve">M6</w:t>
            </w:r>
          </w:p>
        </w:tc>
        <w:tc>
          <w:tcPr>
            <w:tcW w:type="pct" w:w="10%"/>
            <w:shd w:fill="F1C40F" w:val="clear"/>
            <w:tcMar>
              <w:top w:type="dxa" w:w="60"/>
              <w:left w:type="dxa" w:w="90"/>
              <w:bottom w:type="dxa" w:w="60"/>
              <w:right w:type="dxa" w:w="90"/>
            </w:tcMar>
          </w:tcPr>
          <w:p>
            <w:pPr>
              <w:jc w:val="center"/>
            </w:pPr>
            <w:r>
              <w:rPr>
                <w:b/>
                <w:bCs/>
                <w:color w:val="000000"/>
              </w:rPr>
              <w:t xml:space="preserve">MEDIUM</w:t>
            </w:r>
          </w:p>
        </w:tc>
        <w:tc>
          <w:tcPr>
            <w:tcW w:type="pct" w:w="16%"/>
            <w:tcMar>
              <w:top w:type="dxa" w:w="60"/>
              <w:left w:type="dxa" w:w="90"/>
              <w:bottom w:type="dxa" w:w="60"/>
              <w:right w:type="dxa" w:w="90"/>
            </w:tcMar>
          </w:tcPr>
          <w:p>
            <w:pPr>
              <w:jc w:val="left"/>
            </w:pPr>
            <w:r>
              <w:t xml:space="preserve">Files (spec deviation)</w:t>
            </w:r>
          </w:p>
        </w:tc>
        <w:tc>
          <w:tcPr>
            <w:tcW w:type="pct" w:w="40%"/>
            <w:tcMar>
              <w:top w:type="dxa" w:w="60"/>
              <w:left w:type="dxa" w:w="90"/>
              <w:bottom w:type="dxa" w:w="60"/>
              <w:right w:type="dxa" w:w="90"/>
            </w:tcMar>
          </w:tcPr>
          <w:p>
            <w:pPr>
              <w:jc w:val="left"/>
            </w:pPr>
            <w:r>
              <w:rPr>
                <w:b/>
                <w:bCs/>
              </w:rPr>
              <w:t xml:space="preserve">Google Drive résumé/document link entry removed in favor of upload-only</w:t>
            </w:r>
            <w:r>
              <w:rPr>
                <w:color w:val="566573"/>
                <w:sz w:val="18"/>
                <w:szCs w:val="18"/>
              </w:rPr>
              <w:br/>
              <w:t xml:space="preserve">
Spec §11 says 'allow resume upload locally' AND 'also allow users to paste a Google Drive link'. The app is now upload-only (private Vercel Blob, PDF/DOCX). This was a deliberate owner decision, but it is a spec deviation - make it a conscious talking point rather than a demo surprise.</w:t>
            </w:r>
            <w:r>
              <w:rPr>
                <w:i/>
                <w:iCs/>
                <w:color w:val="7F8C8D"/>
                <w:sz w:val="16"/>
                <w:szCs w:val="16"/>
              </w:rPr>
              <w:br/>
              <w:t xml:space="preserve">
Screen: candidate detail, document manager  ·  resume-form.tsx (file upload only); Drive fields dropped in migration 20260706180000/200000</w:t>
            </w:r>
          </w:p>
        </w:tc>
        <w:tc>
          <w:tcPr>
            <w:tcW w:type="pct" w:w="28%"/>
            <w:tcMar>
              <w:top w:type="dxa" w:w="60"/>
              <w:left w:type="dxa" w:w="90"/>
              <w:bottom w:type="dxa" w:w="60"/>
              <w:right w:type="dxa" w:w="90"/>
            </w:tcMar>
          </w:tcPr>
          <w:p>
            <w:pPr>
              <w:jc w:val="left"/>
            </w:pPr>
            <w:r>
              <w:rPr>
                <w:color w:val="1A5276"/>
              </w:rPr>
              <w:t xml:space="preserve">Confirm with owner; if Drive links are still wanted, re-add an optional link field alongside upload.</w:t>
            </w:r>
          </w:p>
        </w:tc>
      </w:tr>
      <w:tr>
        <w:tc>
          <w:tcPr>
            <w:tcW w:type="pct" w:w="6%"/>
            <w:tcMar>
              <w:top w:type="dxa" w:w="60"/>
              <w:left w:type="dxa" w:w="90"/>
              <w:bottom w:type="dxa" w:w="60"/>
              <w:right w:type="dxa" w:w="90"/>
            </w:tcMar>
          </w:tcPr>
          <w:p>
            <w:pPr>
              <w:jc w:val="left"/>
            </w:pPr>
            <w:r>
              <w:rPr>
                <w:b/>
                <w:bCs/>
              </w:rPr>
              <w:t xml:space="preserve">L1</w:t>
            </w:r>
          </w:p>
        </w:tc>
        <w:tc>
          <w:tcPr>
            <w:tcW w:type="pct" w:w="10%"/>
            <w:shd w:fill="95A5A6" w:val="clear"/>
            <w:tcMar>
              <w:top w:type="dxa" w:w="60"/>
              <w:left w:type="dxa" w:w="90"/>
              <w:bottom w:type="dxa" w:w="60"/>
              <w:right w:type="dxa" w:w="90"/>
            </w:tcMar>
          </w:tcPr>
          <w:p>
            <w:pPr>
              <w:jc w:val="center"/>
            </w:pPr>
            <w:r>
              <w:rPr>
                <w:b/>
                <w:bCs/>
                <w:color w:val="FFFFFF"/>
              </w:rPr>
              <w:t xml:space="preserve">LOW</w:t>
            </w:r>
          </w:p>
        </w:tc>
        <w:tc>
          <w:tcPr>
            <w:tcW w:type="pct" w:w="16%"/>
            <w:tcMar>
              <w:top w:type="dxa" w:w="60"/>
              <w:left w:type="dxa" w:w="90"/>
              <w:bottom w:type="dxa" w:w="60"/>
              <w:right w:type="dxa" w:w="90"/>
            </w:tcMar>
          </w:tcPr>
          <w:p>
            <w:pPr>
              <w:jc w:val="left"/>
            </w:pPr>
            <w:r>
              <w:t xml:space="preserve">Flow / Redundancy</w:t>
            </w:r>
          </w:p>
        </w:tc>
        <w:tc>
          <w:tcPr>
            <w:tcW w:type="pct" w:w="40%"/>
            <w:tcMar>
              <w:top w:type="dxa" w:w="60"/>
              <w:left w:type="dxa" w:w="90"/>
              <w:bottom w:type="dxa" w:w="60"/>
              <w:right w:type="dxa" w:w="90"/>
            </w:tcMar>
          </w:tcPr>
          <w:p>
            <w:pPr>
              <w:jc w:val="left"/>
            </w:pPr>
            <w:r>
              <w:rPr>
                <w:b/>
                <w:bCs/>
              </w:rPr>
              <w:t xml:space="preserve">Direct 'New submission' entry points don't prefill from an existing OPEN VPR</w:t>
            </w:r>
            <w:r>
              <w:rPr>
                <w:color w:val="566573"/>
                <w:sz w:val="18"/>
                <w:szCs w:val="18"/>
              </w:rPr>
              <w:br/>
              <w:t xml:space="preserve">
The VPR convert path prefills the full commercial block (good). The three direct 'new submission' entries start blank even when the job has an OPEN VPR, so effort depends on which door the user picks.</w:t>
            </w:r>
            <w:r>
              <w:rPr>
                <w:i/>
                <w:iCs/>
                <w:color w:val="7F8C8D"/>
                <w:sz w:val="16"/>
                <w:szCs w:val="16"/>
              </w:rPr>
              <w:br/>
              <w:t xml:space="preserve">
Screen: /submissions/new, /jobs/[id]/submissions/new, /candidates/[id]/submissions/new  ·  submission-form.tsx; submission-create.ts</w:t>
            </w:r>
          </w:p>
        </w:tc>
        <w:tc>
          <w:tcPr>
            <w:tcW w:type="pct" w:w="28%"/>
            <w:tcMar>
              <w:top w:type="dxa" w:w="60"/>
              <w:left w:type="dxa" w:w="90"/>
              <w:bottom w:type="dxa" w:w="60"/>
              <w:right w:type="dxa" w:w="90"/>
            </w:tcMar>
          </w:tcPr>
          <w:p>
            <w:pPr>
              <w:jc w:val="left"/>
            </w:pPr>
            <w:r>
              <w:rPr>
                <w:color w:val="1A5276"/>
              </w:rPr>
              <w:t xml:space="preserve">When a job has an OPEN VPR, offer to prefill from it.</w:t>
            </w:r>
          </w:p>
        </w:tc>
      </w:tr>
      <w:tr>
        <w:tc>
          <w:tcPr>
            <w:tcW w:type="pct" w:w="6%"/>
            <w:tcMar>
              <w:top w:type="dxa" w:w="60"/>
              <w:left w:type="dxa" w:w="90"/>
              <w:bottom w:type="dxa" w:w="60"/>
              <w:right w:type="dxa" w:w="90"/>
            </w:tcMar>
          </w:tcPr>
          <w:p>
            <w:pPr>
              <w:jc w:val="left"/>
            </w:pPr>
            <w:r>
              <w:rPr>
                <w:b/>
                <w:bCs/>
              </w:rPr>
              <w:t xml:space="preserve">L2</w:t>
            </w:r>
          </w:p>
        </w:tc>
        <w:tc>
          <w:tcPr>
            <w:tcW w:type="pct" w:w="10%"/>
            <w:shd w:fill="95A5A6" w:val="clear"/>
            <w:tcMar>
              <w:top w:type="dxa" w:w="60"/>
              <w:left w:type="dxa" w:w="90"/>
              <w:bottom w:type="dxa" w:w="60"/>
              <w:right w:type="dxa" w:w="90"/>
            </w:tcMar>
          </w:tcPr>
          <w:p>
            <w:pPr>
              <w:jc w:val="center"/>
            </w:pPr>
            <w:r>
              <w:rPr>
                <w:b/>
                <w:bCs/>
                <w:color w:val="FFFFFF"/>
              </w:rPr>
              <w:t xml:space="preserve">LOW</w:t>
            </w:r>
          </w:p>
        </w:tc>
        <w:tc>
          <w:tcPr>
            <w:tcW w:type="pct" w:w="16%"/>
            <w:tcMar>
              <w:top w:type="dxa" w:w="60"/>
              <w:left w:type="dxa" w:w="90"/>
              <w:bottom w:type="dxa" w:w="60"/>
              <w:right w:type="dxa" w:w="90"/>
            </w:tcMar>
          </w:tcPr>
          <w:p>
            <w:pPr>
              <w:jc w:val="left"/>
            </w:pPr>
            <w:r>
              <w:t xml:space="preserve">Jobs form</w:t>
            </w:r>
          </w:p>
        </w:tc>
        <w:tc>
          <w:tcPr>
            <w:tcW w:type="pct" w:w="40%"/>
            <w:tcMar>
              <w:top w:type="dxa" w:w="60"/>
              <w:left w:type="dxa" w:w="90"/>
              <w:bottom w:type="dxa" w:w="60"/>
              <w:right w:type="dxa" w:w="90"/>
            </w:tcMar>
          </w:tcPr>
          <w:p>
            <w:pPr>
              <w:jc w:val="left"/>
            </w:pPr>
            <w:r>
              <w:rPr>
                <w:b/>
                <w:bCs/>
              </w:rPr>
              <w:t xml:space="preserve">Job status not enforced as required (defaults to OPEN)</w:t>
            </w:r>
            <w:r>
              <w:rPr>
                <w:color w:val="566573"/>
                <w:sz w:val="18"/>
                <w:szCs w:val="18"/>
              </w:rPr>
              <w:br/>
              <w:t xml:space="preserve">
Spec §9.3 lists Status among required fields; the form defaults to OPEN without enforcement.</w:t>
            </w:r>
            <w:r>
              <w:rPr>
                <w:i/>
                <w:iCs/>
                <w:color w:val="7F8C8D"/>
                <w:sz w:val="16"/>
                <w:szCs w:val="16"/>
              </w:rPr>
              <w:br/>
              <w:t xml:space="preserve">
Screen: /jobs/new  ·  src/components/jobs/job-form.tsx</w:t>
            </w:r>
          </w:p>
        </w:tc>
        <w:tc>
          <w:tcPr>
            <w:tcW w:type="pct" w:w="28%"/>
            <w:tcMar>
              <w:top w:type="dxa" w:w="60"/>
              <w:left w:type="dxa" w:w="90"/>
              <w:bottom w:type="dxa" w:w="60"/>
              <w:right w:type="dxa" w:w="90"/>
            </w:tcMar>
          </w:tcPr>
          <w:p>
            <w:pPr>
              <w:jc w:val="left"/>
            </w:pPr>
            <w:r>
              <w:rPr>
                <w:color w:val="1A5276"/>
              </w:rPr>
              <w:t xml:space="preserve">Cosmetic; leave defaulted or mark required per spec.</w:t>
            </w:r>
          </w:p>
        </w:tc>
      </w:tr>
      <w:tr>
        <w:tc>
          <w:tcPr>
            <w:tcW w:type="pct" w:w="6%"/>
            <w:tcMar>
              <w:top w:type="dxa" w:w="60"/>
              <w:left w:type="dxa" w:w="90"/>
              <w:bottom w:type="dxa" w:w="60"/>
              <w:right w:type="dxa" w:w="90"/>
            </w:tcMar>
          </w:tcPr>
          <w:p>
            <w:pPr>
              <w:jc w:val="left"/>
            </w:pPr>
            <w:r>
              <w:rPr>
                <w:b/>
                <w:bCs/>
              </w:rPr>
              <w:t xml:space="preserve">L3</w:t>
            </w:r>
          </w:p>
        </w:tc>
        <w:tc>
          <w:tcPr>
            <w:tcW w:type="pct" w:w="10%"/>
            <w:shd w:fill="95A5A6" w:val="clear"/>
            <w:tcMar>
              <w:top w:type="dxa" w:w="60"/>
              <w:left w:type="dxa" w:w="90"/>
              <w:bottom w:type="dxa" w:w="60"/>
              <w:right w:type="dxa" w:w="90"/>
            </w:tcMar>
          </w:tcPr>
          <w:p>
            <w:pPr>
              <w:jc w:val="center"/>
            </w:pPr>
            <w:r>
              <w:rPr>
                <w:b/>
                <w:bCs/>
                <w:color w:val="FFFFFF"/>
              </w:rPr>
              <w:t xml:space="preserve">LOW</w:t>
            </w:r>
          </w:p>
        </w:tc>
        <w:tc>
          <w:tcPr>
            <w:tcW w:type="pct" w:w="16%"/>
            <w:tcMar>
              <w:top w:type="dxa" w:w="60"/>
              <w:left w:type="dxa" w:w="90"/>
              <w:bottom w:type="dxa" w:w="60"/>
              <w:right w:type="dxa" w:w="90"/>
            </w:tcMar>
          </w:tcPr>
          <w:p>
            <w:pPr>
              <w:jc w:val="left"/>
            </w:pPr>
            <w:r>
              <w:t xml:space="preserve">Placements</w:t>
            </w:r>
          </w:p>
        </w:tc>
        <w:tc>
          <w:tcPr>
            <w:tcW w:type="pct" w:w="40%"/>
            <w:tcMar>
              <w:top w:type="dxa" w:w="60"/>
              <w:left w:type="dxa" w:w="90"/>
              <w:bottom w:type="dxa" w:w="60"/>
              <w:right w:type="dxa" w:w="90"/>
            </w:tcMar>
          </w:tcPr>
          <w:p>
            <w:pPr>
              <w:jc w:val="left"/>
            </w:pPr>
            <w:r>
              <w:rPr>
                <w:b/>
                <w:bCs/>
              </w:rPr>
              <w:t xml:space="preserve">No celebratory 'pop' on Joined / Backed-out</w:t>
            </w:r>
            <w:r>
              <w:rPr>
                <w:color w:val="566573"/>
                <w:sz w:val="18"/>
                <w:szCs w:val="18"/>
              </w:rPr>
              <w:br/>
              <w:t xml:space="preserve">
The June-19 Placements tab hints 'Give Pop Like Joined Or Back out'. The app shows a confirm dialog + success toast + JOINED-&gt;placement cascade, but no distinct celebratory moment.</w:t>
            </w:r>
            <w:r>
              <w:rPr>
                <w:i/>
                <w:iCs/>
                <w:color w:val="7F8C8D"/>
                <w:sz w:val="16"/>
                <w:szCs w:val="16"/>
              </w:rPr>
              <w:br/>
              <w:t xml:space="preserve">
Screen: /submissions/[id]  ·  submission-status-form.tsx (confirm + toast)</w:t>
            </w:r>
          </w:p>
        </w:tc>
        <w:tc>
          <w:tcPr>
            <w:tcW w:type="pct" w:w="28%"/>
            <w:tcMar>
              <w:top w:type="dxa" w:w="60"/>
              <w:left w:type="dxa" w:w="90"/>
              <w:bottom w:type="dxa" w:w="60"/>
              <w:right w:type="dxa" w:w="90"/>
            </w:tcMar>
          </w:tcPr>
          <w:p>
            <w:pPr>
              <w:jc w:val="left"/>
            </w:pPr>
            <w:r>
              <w:rPr>
                <w:color w:val="1A5276"/>
              </w:rPr>
              <w:t xml:space="preserve">Optional: a brief success animation on Joined.</w:t>
            </w:r>
          </w:p>
        </w:tc>
      </w:tr>
      <w:tr>
        <w:tc>
          <w:tcPr>
            <w:tcW w:type="pct" w:w="6%"/>
            <w:tcMar>
              <w:top w:type="dxa" w:w="60"/>
              <w:left w:type="dxa" w:w="90"/>
              <w:bottom w:type="dxa" w:w="60"/>
              <w:right w:type="dxa" w:w="90"/>
            </w:tcMar>
          </w:tcPr>
          <w:p>
            <w:pPr>
              <w:jc w:val="left"/>
            </w:pPr>
            <w:r>
              <w:rPr>
                <w:b/>
                <w:bCs/>
              </w:rPr>
              <w:t xml:space="preserve">L4</w:t>
            </w:r>
          </w:p>
        </w:tc>
        <w:tc>
          <w:tcPr>
            <w:tcW w:type="pct" w:w="10%"/>
            <w:shd w:fill="95A5A6" w:val="clear"/>
            <w:tcMar>
              <w:top w:type="dxa" w:w="60"/>
              <w:left w:type="dxa" w:w="90"/>
              <w:bottom w:type="dxa" w:w="60"/>
              <w:right w:type="dxa" w:w="90"/>
            </w:tcMar>
          </w:tcPr>
          <w:p>
            <w:pPr>
              <w:jc w:val="center"/>
            </w:pPr>
            <w:r>
              <w:rPr>
                <w:b/>
                <w:bCs/>
                <w:color w:val="FFFFFF"/>
              </w:rPr>
              <w:t xml:space="preserve">LOW</w:t>
            </w:r>
          </w:p>
        </w:tc>
        <w:tc>
          <w:tcPr>
            <w:tcW w:type="pct" w:w="16%"/>
            <w:tcMar>
              <w:top w:type="dxa" w:w="60"/>
              <w:left w:type="dxa" w:w="90"/>
              <w:bottom w:type="dxa" w:w="60"/>
              <w:right w:type="dxa" w:w="90"/>
            </w:tcMar>
          </w:tcPr>
          <w:p>
            <w:pPr>
              <w:jc w:val="left"/>
            </w:pPr>
            <w:r>
              <w:t xml:space="preserve">Interviews roll-up</w:t>
            </w:r>
          </w:p>
        </w:tc>
        <w:tc>
          <w:tcPr>
            <w:tcW w:type="pct" w:w="40%"/>
            <w:tcMar>
              <w:top w:type="dxa" w:w="60"/>
              <w:left w:type="dxa" w:w="90"/>
              <w:bottom w:type="dxa" w:w="60"/>
              <w:right w:type="dxa" w:w="90"/>
            </w:tcMar>
          </w:tcPr>
          <w:p>
            <w:pPr>
              <w:jc w:val="left"/>
            </w:pPr>
            <w:r>
              <w:rPr>
                <w:b/>
                <w:bCs/>
              </w:rPr>
              <w:t xml:space="preserve">Interview 'Time' merged into the Date column</w:t>
            </w:r>
            <w:r>
              <w:rPr>
                <w:color w:val="566573"/>
                <w:sz w:val="18"/>
                <w:szCs w:val="18"/>
              </w:rPr>
              <w:br/>
              <w:t xml:space="preserve">
The Excel tab lists Date and Time separately; the roll-up shows a combined datetime.</w:t>
            </w:r>
            <w:r>
              <w:rPr>
                <w:i/>
                <w:iCs/>
                <w:color w:val="7F8C8D"/>
                <w:sz w:val="16"/>
                <w:szCs w:val="16"/>
              </w:rPr>
              <w:br/>
              <w:t xml:space="preserve">
Screen: /interviews  ·  interviews-table.tsx:47</w:t>
            </w:r>
          </w:p>
        </w:tc>
        <w:tc>
          <w:tcPr>
            <w:tcW w:type="pct" w:w="28%"/>
            <w:tcMar>
              <w:top w:type="dxa" w:w="60"/>
              <w:left w:type="dxa" w:w="90"/>
              <w:bottom w:type="dxa" w:w="60"/>
              <w:right w:type="dxa" w:w="90"/>
            </w:tcMar>
          </w:tcPr>
          <w:p>
            <w:pPr>
              <w:jc w:val="left"/>
            </w:pPr>
            <w:r>
              <w:rPr>
                <w:color w:val="1A5276"/>
              </w:rPr>
              <w:t xml:space="preserve">Cosmetic; split if the client wants a distinct Time column.</w:t>
            </w:r>
          </w:p>
        </w:tc>
      </w:tr>
      <w:tr>
        <w:tc>
          <w:tcPr>
            <w:tcW w:type="pct" w:w="6%"/>
            <w:tcMar>
              <w:top w:type="dxa" w:w="60"/>
              <w:left w:type="dxa" w:w="90"/>
              <w:bottom w:type="dxa" w:w="60"/>
              <w:right w:type="dxa" w:w="90"/>
            </w:tcMar>
          </w:tcPr>
          <w:p>
            <w:pPr>
              <w:jc w:val="left"/>
            </w:pPr>
            <w:r>
              <w:rPr>
                <w:b/>
                <w:bCs/>
              </w:rPr>
              <w:t xml:space="preserve">L5</w:t>
            </w:r>
          </w:p>
        </w:tc>
        <w:tc>
          <w:tcPr>
            <w:tcW w:type="pct" w:w="10%"/>
            <w:shd w:fill="95A5A6" w:val="clear"/>
            <w:tcMar>
              <w:top w:type="dxa" w:w="60"/>
              <w:left w:type="dxa" w:w="90"/>
              <w:bottom w:type="dxa" w:w="60"/>
              <w:right w:type="dxa" w:w="90"/>
            </w:tcMar>
          </w:tcPr>
          <w:p>
            <w:pPr>
              <w:jc w:val="center"/>
            </w:pPr>
            <w:r>
              <w:rPr>
                <w:b/>
                <w:bCs/>
                <w:color w:val="FFFFFF"/>
              </w:rPr>
              <w:t xml:space="preserve">LOW</w:t>
            </w:r>
          </w:p>
        </w:tc>
        <w:tc>
          <w:tcPr>
            <w:tcW w:type="pct" w:w="16%"/>
            <w:tcMar>
              <w:top w:type="dxa" w:w="60"/>
              <w:left w:type="dxa" w:w="90"/>
              <w:bottom w:type="dxa" w:w="60"/>
              <w:right w:type="dxa" w:w="90"/>
            </w:tcMar>
          </w:tcPr>
          <w:p>
            <w:pPr>
              <w:jc w:val="left"/>
            </w:pPr>
            <w:r>
              <w:t xml:space="preserve">Docs / drift</w:t>
            </w:r>
          </w:p>
        </w:tc>
        <w:tc>
          <w:tcPr>
            <w:tcW w:type="pct" w:w="40%"/>
            <w:tcMar>
              <w:top w:type="dxa" w:w="60"/>
              <w:left w:type="dxa" w:w="90"/>
              <w:bottom w:type="dxa" w:w="60"/>
              <w:right w:type="dxa" w:w="90"/>
            </w:tcMar>
          </w:tcPr>
          <w:p>
            <w:pPr>
              <w:jc w:val="left"/>
            </w:pPr>
            <w:r>
              <w:rPr>
                <w:b/>
                <w:bCs/>
              </w:rPr>
              <w:t xml:space="preserve">CLAUDE.md says Job is trimmed to client-rate-only, but vendor/candidate rate inputs still exist</w:t>
            </w:r>
            <w:r>
              <w:rPr>
                <w:color w:val="566573"/>
                <w:sz w:val="18"/>
                <w:szCs w:val="18"/>
              </w:rPr>
              <w:br/>
              <w:t xml:space="preserve">
The Job form still has vendor/candidate rate inputs, moved into a collapsible 'More details' section labelled as usually-set-on-the-requirement. The doc note overstates the trim.</w:t>
            </w:r>
            <w:r>
              <w:rPr>
                <w:i/>
                <w:iCs/>
                <w:color w:val="7F8C8D"/>
                <w:sz w:val="16"/>
                <w:szCs w:val="16"/>
              </w:rPr>
              <w:br/>
              <w:t xml:space="preserve">
Screen: n/a (doc)  ·  job-form.tsx:279-308 vs CLAUDE.md 'current state' note</w:t>
            </w:r>
          </w:p>
        </w:tc>
        <w:tc>
          <w:tcPr>
            <w:tcW w:type="pct" w:w="28%"/>
            <w:tcMar>
              <w:top w:type="dxa" w:w="60"/>
              <w:left w:type="dxa" w:w="90"/>
              <w:bottom w:type="dxa" w:w="60"/>
              <w:right w:type="dxa" w:w="90"/>
            </w:tcMar>
          </w:tcPr>
          <w:p>
            <w:pPr>
              <w:jc w:val="left"/>
            </w:pPr>
            <w:r>
              <w:rPr>
                <w:color w:val="1A5276"/>
              </w:rPr>
              <w:t xml:space="preserve">Update the note to 'demoted into More details', not 'removed'.</w:t>
            </w:r>
          </w:p>
        </w:tc>
      </w:tr>
      <w:tr>
        <w:tc>
          <w:tcPr>
            <w:tcW w:type="pct" w:w="6%"/>
            <w:tcMar>
              <w:top w:type="dxa" w:w="60"/>
              <w:left w:type="dxa" w:w="90"/>
              <w:bottom w:type="dxa" w:w="60"/>
              <w:right w:type="dxa" w:w="90"/>
            </w:tcMar>
          </w:tcPr>
          <w:p>
            <w:pPr>
              <w:jc w:val="left"/>
            </w:pPr>
            <w:r>
              <w:rPr>
                <w:b/>
                <w:bCs/>
              </w:rPr>
              <w:t xml:space="preserve">L6</w:t>
            </w:r>
          </w:p>
        </w:tc>
        <w:tc>
          <w:tcPr>
            <w:tcW w:type="pct" w:w="10%"/>
            <w:shd w:fill="95A5A6" w:val="clear"/>
            <w:tcMar>
              <w:top w:type="dxa" w:w="60"/>
              <w:left w:type="dxa" w:w="90"/>
              <w:bottom w:type="dxa" w:w="60"/>
              <w:right w:type="dxa" w:w="90"/>
            </w:tcMar>
          </w:tcPr>
          <w:p>
            <w:pPr>
              <w:jc w:val="center"/>
            </w:pPr>
            <w:r>
              <w:rPr>
                <w:b/>
                <w:bCs/>
                <w:color w:val="FFFFFF"/>
              </w:rPr>
              <w:t xml:space="preserve">LOW</w:t>
            </w:r>
          </w:p>
        </w:tc>
        <w:tc>
          <w:tcPr>
            <w:tcW w:type="pct" w:w="16%"/>
            <w:tcMar>
              <w:top w:type="dxa" w:w="60"/>
              <w:left w:type="dxa" w:w="90"/>
              <w:bottom w:type="dxa" w:w="60"/>
              <w:right w:type="dxa" w:w="90"/>
            </w:tcMar>
          </w:tcPr>
          <w:p>
            <w:pPr>
              <w:jc w:val="left"/>
            </w:pPr>
            <w:r>
              <w:t xml:space="preserve">Security (defense-in-depth)</w:t>
            </w:r>
          </w:p>
        </w:tc>
        <w:tc>
          <w:tcPr>
            <w:tcW w:type="pct" w:w="40%"/>
            <w:tcMar>
              <w:top w:type="dxa" w:w="60"/>
              <w:left w:type="dxa" w:w="90"/>
              <w:bottom w:type="dxa" w:w="60"/>
              <w:right w:type="dxa" w:w="90"/>
            </w:tcMar>
          </w:tcPr>
          <w:p>
            <w:pPr>
              <w:jc w:val="left"/>
            </w:pPr>
            <w:r>
              <w:rPr>
                <w:b/>
                <w:bCs/>
              </w:rPr>
              <w:t xml:space="preserve">Bench marketing password over-fetched in getBenchConsultant</w:t>
            </w:r>
            <w:r>
              <w:rPr>
                <w:color w:val="566573"/>
                <w:sz w:val="18"/>
                <w:szCs w:val="18"/>
              </w:rPr>
              <w:br/>
              <w:t xml:space="preserve">
getBenchConsultant uses include with no field-level select, pulling marketingPassword for every viewer. The Server Component discards it before render for non-admins (so it never reaches the client HTML - not a live leak), but it is a latent footgun if the row is ever forwarded to a Client Component.</w:t>
            </w:r>
            <w:r>
              <w:rPr>
                <w:i/>
                <w:iCs/>
                <w:color w:val="7F8C8D"/>
                <w:sz w:val="16"/>
                <w:szCs w:val="16"/>
              </w:rPr>
              <w:br/>
              <w:t xml:space="preserve">
Screen: /bench/[id]  ·  src/server/queries/bench-consultants.ts:120</w:t>
            </w:r>
          </w:p>
        </w:tc>
        <w:tc>
          <w:tcPr>
            <w:tcW w:type="pct" w:w="28%"/>
            <w:tcMar>
              <w:top w:type="dxa" w:w="60"/>
              <w:left w:type="dxa" w:w="90"/>
              <w:bottom w:type="dxa" w:w="60"/>
              <w:right w:type="dxa" w:w="90"/>
            </w:tcMar>
          </w:tcPr>
          <w:p>
            <w:pPr>
              <w:jc w:val="left"/>
            </w:pPr>
            <w:r>
              <w:rPr>
                <w:color w:val="1A5276"/>
              </w:rPr>
              <w:t xml:space="preserve">Use a conditional select so the password is only fetched for admins.</w:t>
            </w:r>
          </w:p>
        </w:tc>
      </w:tr>
    </w:tbl>
    <w:p>
      <w:pPr>
        <w:pStyle w:val="Heading1"/>
        <w:spacing w:after="120" w:before="240"/>
      </w:pPr>
      <w:r>
        <w:t xml:space="preserve">8. What's Genuinely Strong</w:t>
      </w:r>
    </w:p>
    <w:p>
      <w:pPr>
        <w:pStyle w:val="ListParagraph"/>
        <w:numPr>
          <w:ilvl w:val="0"/>
          <w:numId w:val="1"/>
        </w:numPr>
        <w:spacing w:after="60"/>
      </w:pPr>
      <w:r>
        <w:rPr>
          <w:b w:val="false"/>
          <w:bCs w:val="false"/>
        </w:rPr>
        <w:t xml:space="preserve">Zero runtime errors across 40+ pages under two roles — no crashes or console throws anywhere walked.</w:t>
      </w:r>
    </w:p>
    <w:p>
      <w:pPr>
        <w:pStyle w:val="ListParagraph"/>
        <w:numPr>
          <w:ilvl w:val="0"/>
          <w:numId w:val="1"/>
        </w:numPr>
        <w:spacing w:after="60"/>
      </w:pPr>
      <w:r>
        <w:rPr>
          <w:b w:val="false"/>
          <w:bCs w:val="false"/>
        </w:rPr>
        <w:t xml:space="preserve">Security solid — 0 server-side RBAC leaks; the trust boundary is the action, not the UI.</w:t>
      </w:r>
    </w:p>
    <w:p>
      <w:pPr>
        <w:pStyle w:val="ListParagraph"/>
        <w:numPr>
          <w:ilvl w:val="0"/>
          <w:numId w:val="1"/>
        </w:numPr>
        <w:spacing w:after="60"/>
      </w:pPr>
      <w:r>
        <w:rPr>
          <w:b w:val="false"/>
          <w:bCs w:val="false"/>
        </w:rPr>
        <w:t xml:space="preserve">Both headline new features work live — redesigned status action-bar + private-Blob résumé/document upload (PDF/DOCX, gzip, auth-gated serve routes).</w:t>
      </w:r>
    </w:p>
    <w:p>
      <w:pPr>
        <w:pStyle w:val="ListParagraph"/>
        <w:numPr>
          <w:ilvl w:val="0"/>
          <w:numId w:val="1"/>
        </w:numPr>
        <w:spacing w:after="60"/>
      </w:pPr>
      <w:r>
        <w:rPr>
          <w:b w:val="false"/>
          <w:bCs w:val="false"/>
        </w:rPr>
        <w:t xml:space="preserve">Core numbers reconcile to the seed data.</w:t>
      </w:r>
    </w:p>
    <w:p>
      <w:pPr>
        <w:spacing w:after="120"/>
      </w:pPr>
      <w:r>
        <w:rPr>
          <w:i/>
          <w:iCs/>
        </w:rPr>
        <w:t xml:space="preserve">Present the recruiter daily-loop and admin cascade automations with confidence; keep Reports → Monthly Performance out of the spotlight (or caveat it) until H1/H2 are resolved.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2026-07-06T17:48:27.718Z</dcterms:created>
  <dcterms:modified xsi:type="dcterms:W3CDTF">2026-07-06T17:48:27.718Z</dcterms:modified>
</cp:coreProperties>
</file>

<file path=docProps/custom.xml><?xml version="1.0" encoding="utf-8"?>
<Properties xmlns="http://schemas.openxmlformats.org/officeDocument/2006/custom-properties" xmlns:vt="http://schemas.openxmlformats.org/officeDocument/2006/docPropsVTypes"/>
</file>