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7D55D">
      <w:pPr>
        <w:spacing w:after="0"/>
        <w:jc w:val="center"/>
        <w:rPr>
          <w:b/>
          <w:sz w:val="24"/>
          <w:szCs w:val="24"/>
        </w:rPr>
      </w:pPr>
      <w:r>
        <w:rPr>
          <w:b/>
          <w:sz w:val="24"/>
          <w:szCs w:val="24"/>
        </w:rPr>
        <w:t>Project Design Phase</w:t>
      </w:r>
    </w:p>
    <w:p w14:paraId="1DC7D55E">
      <w:pPr>
        <w:spacing w:after="0"/>
        <w:jc w:val="center"/>
        <w:rPr>
          <w:b/>
          <w:sz w:val="24"/>
          <w:szCs w:val="24"/>
        </w:rPr>
      </w:pPr>
      <w:r>
        <w:rPr>
          <w:b/>
          <w:sz w:val="24"/>
          <w:szCs w:val="24"/>
        </w:rPr>
        <w:t xml:space="preserve">Proposed Solution </w:t>
      </w:r>
    </w:p>
    <w:p w14:paraId="1DC7D55F">
      <w:pPr>
        <w:spacing w:after="0"/>
        <w:jc w:val="center"/>
        <w:rPr>
          <w:b/>
        </w:rPr>
      </w:pPr>
    </w:p>
    <w:tbl>
      <w:tblPr>
        <w:tblStyle w:val="9"/>
        <w:tblW w:w="6799" w:type="dxa"/>
        <w:jc w:val="center"/>
        <w:tblLayout w:type="fixed"/>
        <w:tblCellMar>
          <w:top w:w="0" w:type="dxa"/>
          <w:left w:w="108" w:type="dxa"/>
          <w:bottom w:w="0" w:type="dxa"/>
          <w:right w:w="108" w:type="dxa"/>
        </w:tblCellMar>
      </w:tblPr>
      <w:tblGrid>
        <w:gridCol w:w="2830"/>
        <w:gridCol w:w="3969"/>
      </w:tblGrid>
      <w:tr w14:paraId="1DC7D562">
        <w:tblPrEx>
          <w:tblCellMar>
            <w:top w:w="0" w:type="dxa"/>
            <w:left w:w="108" w:type="dxa"/>
            <w:bottom w:w="0" w:type="dxa"/>
            <w:right w:w="108" w:type="dxa"/>
          </w:tblCellMar>
        </w:tblPrEx>
        <w:trPr>
          <w:trHeight w:val="408"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0">
            <w:r>
              <w:t>Date</w:t>
            </w:r>
          </w:p>
        </w:tc>
        <w:tc>
          <w:tcPr>
            <w:tcW w:w="3969" w:type="dxa"/>
            <w:tcBorders>
              <w:top w:val="single" w:color="000000" w:sz="4" w:space="0"/>
              <w:left w:val="single" w:color="000000" w:sz="4" w:space="0"/>
              <w:bottom w:val="single" w:color="000000" w:sz="4" w:space="0"/>
              <w:right w:val="single" w:color="000000" w:sz="4" w:space="0"/>
            </w:tcBorders>
          </w:tcPr>
          <w:p w14:paraId="1DC7D561">
            <w:r>
              <w:t>8 February 2026</w:t>
            </w:r>
          </w:p>
        </w:tc>
      </w:tr>
      <w:tr w14:paraId="1DC7D565">
        <w:tblPrEx>
          <w:tblCellMar>
            <w:top w:w="0" w:type="dxa"/>
            <w:left w:w="108" w:type="dxa"/>
            <w:bottom w:w="0" w:type="dxa"/>
            <w:right w:w="108" w:type="dxa"/>
          </w:tblCellMar>
        </w:tblPrEx>
        <w:trPr>
          <w:trHeight w:val="415"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3">
            <w:r>
              <w:t>Team ID</w:t>
            </w:r>
          </w:p>
        </w:tc>
        <w:tc>
          <w:tcPr>
            <w:tcW w:w="3969" w:type="dxa"/>
            <w:tcBorders>
              <w:top w:val="single" w:color="000000" w:sz="4" w:space="0"/>
              <w:left w:val="single" w:color="000000" w:sz="4" w:space="0"/>
              <w:bottom w:val="single" w:color="000000" w:sz="4" w:space="0"/>
              <w:right w:val="single" w:color="000000" w:sz="4" w:space="0"/>
            </w:tcBorders>
          </w:tcPr>
          <w:p w14:paraId="1DC7D564">
            <w:pPr>
              <w:pStyle w:val="22"/>
              <w:rPr>
                <w:rFonts w:hint="default" w:asciiTheme="minorHAnsi" w:hAnsiTheme="minorHAnsi" w:cstheme="minorHAnsi"/>
                <w:lang w:val="en-US"/>
              </w:rPr>
            </w:pPr>
            <w:r>
              <w:rPr>
                <w:rFonts w:asciiTheme="minorHAnsi" w:hAnsiTheme="minorHAnsi" w:cstheme="minorHAnsi"/>
                <w:color w:val="222222"/>
                <w:lang w:val="en-IN"/>
              </w:rPr>
              <w:t>LTVIP2026TMIDS242</w:t>
            </w:r>
            <w:r>
              <w:rPr>
                <w:rFonts w:hint="default" w:asciiTheme="minorHAnsi" w:hAnsiTheme="minorHAnsi" w:cstheme="minorHAnsi"/>
                <w:color w:val="222222"/>
                <w:lang w:val="en-US"/>
              </w:rPr>
              <w:t>18</w:t>
            </w:r>
          </w:p>
        </w:tc>
      </w:tr>
      <w:tr w14:paraId="1DC7D568">
        <w:tblPrEx>
          <w:tblCellMar>
            <w:top w:w="0" w:type="dxa"/>
            <w:left w:w="108" w:type="dxa"/>
            <w:bottom w:w="0" w:type="dxa"/>
            <w:right w:w="108" w:type="dxa"/>
          </w:tblCellMar>
        </w:tblPrEx>
        <w:trPr>
          <w:trHeight w:val="408"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6">
            <w:r>
              <w:t>Project Name</w:t>
            </w:r>
          </w:p>
        </w:tc>
        <w:tc>
          <w:tcPr>
            <w:tcW w:w="3969" w:type="dxa"/>
            <w:tcBorders>
              <w:top w:val="single" w:color="000000" w:sz="4" w:space="0"/>
              <w:left w:val="single" w:color="000000" w:sz="4" w:space="0"/>
              <w:bottom w:val="single" w:color="000000" w:sz="4" w:space="0"/>
              <w:right w:val="single" w:color="000000" w:sz="4" w:space="0"/>
            </w:tcBorders>
            <w:vAlign w:val="top"/>
          </w:tcPr>
          <w:p w14:paraId="1DC7D567">
            <w:pPr>
              <w:pStyle w:val="21"/>
              <w:widowControl w:val="0"/>
              <w:rPr>
                <w:rFonts w:ascii="Calibri" w:hAnsi="Calibri" w:eastAsia="Calibri" w:cs="Calibri"/>
                <w:color w:val="000000"/>
              </w:rPr>
            </w:pPr>
            <w:r>
              <w:rPr>
                <w:rFonts w:hint="default" w:ascii="Corbel" w:hAnsi="Corbel" w:cs="Corbel"/>
                <w:b w:val="0"/>
                <w:bCs w:val="0"/>
              </w:rPr>
              <w:t>Civil Engineering Insight Studio</w:t>
            </w:r>
          </w:p>
        </w:tc>
      </w:tr>
      <w:tr w14:paraId="1DC7D56B">
        <w:tblPrEx>
          <w:tblCellMar>
            <w:top w:w="0" w:type="dxa"/>
            <w:left w:w="108" w:type="dxa"/>
            <w:bottom w:w="0" w:type="dxa"/>
            <w:right w:w="108" w:type="dxa"/>
          </w:tblCellMar>
        </w:tblPrEx>
        <w:trPr>
          <w:trHeight w:val="415" w:hRule="atLeast"/>
          <w:jc w:val="center"/>
        </w:trPr>
        <w:tc>
          <w:tcPr>
            <w:tcW w:w="2830" w:type="dxa"/>
            <w:tcBorders>
              <w:top w:val="single" w:color="000000" w:sz="4" w:space="0"/>
              <w:left w:val="single" w:color="000000" w:sz="4" w:space="0"/>
              <w:bottom w:val="single" w:color="000000" w:sz="4" w:space="0"/>
              <w:right w:val="single" w:color="000000" w:sz="4" w:space="0"/>
            </w:tcBorders>
          </w:tcPr>
          <w:p w14:paraId="1DC7D569">
            <w:r>
              <w:t>Maximum Marks</w:t>
            </w:r>
          </w:p>
        </w:tc>
        <w:tc>
          <w:tcPr>
            <w:tcW w:w="3969" w:type="dxa"/>
            <w:tcBorders>
              <w:top w:val="single" w:color="000000" w:sz="4" w:space="0"/>
              <w:left w:val="single" w:color="000000" w:sz="4" w:space="0"/>
              <w:bottom w:val="single" w:color="000000" w:sz="4" w:space="0"/>
              <w:right w:val="single" w:color="000000" w:sz="4" w:space="0"/>
            </w:tcBorders>
          </w:tcPr>
          <w:p w14:paraId="1DC7D56A">
            <w:r>
              <w:t>2 Marks</w:t>
            </w:r>
          </w:p>
        </w:tc>
      </w:tr>
    </w:tbl>
    <w:p w14:paraId="13B98CD7">
      <w:pPr>
        <w:rPr>
          <w:b/>
        </w:rPr>
      </w:pPr>
    </w:p>
    <w:p w14:paraId="1DC7D56D">
      <w:pPr>
        <w:rPr>
          <w:b/>
        </w:rPr>
      </w:pPr>
      <w:r>
        <w:rPr>
          <w:b/>
        </w:rPr>
        <w:t>Proposed Solution:</w:t>
      </w:r>
    </w:p>
    <w:p w14:paraId="1DC7D56E">
      <w:r>
        <w:t>Project team shall fill the following information in the proposed solution.</w:t>
      </w:r>
    </w:p>
    <w:tbl>
      <w:tblPr>
        <w:tblStyle w:val="9"/>
        <w:tblW w:w="9493" w:type="dxa"/>
        <w:tblInd w:w="0" w:type="dxa"/>
        <w:tblLayout w:type="fixed"/>
        <w:tblCellMar>
          <w:top w:w="0" w:type="dxa"/>
          <w:left w:w="108" w:type="dxa"/>
          <w:bottom w:w="0" w:type="dxa"/>
          <w:right w:w="108" w:type="dxa"/>
        </w:tblCellMar>
      </w:tblPr>
      <w:tblGrid>
        <w:gridCol w:w="704"/>
        <w:gridCol w:w="1418"/>
        <w:gridCol w:w="7371"/>
      </w:tblGrid>
      <w:tr w14:paraId="1DC7D572">
        <w:tblPrEx>
          <w:tblCellMar>
            <w:top w:w="0" w:type="dxa"/>
            <w:left w:w="108" w:type="dxa"/>
            <w:bottom w:w="0" w:type="dxa"/>
            <w:right w:w="108" w:type="dxa"/>
          </w:tblCellMar>
        </w:tblPrEx>
        <w:trPr>
          <w:trHeight w:val="557" w:hRule="atLeast"/>
        </w:trPr>
        <w:tc>
          <w:tcPr>
            <w:tcW w:w="704" w:type="dxa"/>
            <w:tcBorders>
              <w:top w:val="single" w:color="000000" w:sz="4" w:space="0"/>
              <w:left w:val="single" w:color="000000" w:sz="4" w:space="0"/>
              <w:bottom w:val="single" w:color="000000" w:sz="4" w:space="0"/>
              <w:right w:val="single" w:color="000000" w:sz="4" w:space="0"/>
            </w:tcBorders>
          </w:tcPr>
          <w:p w14:paraId="1DC7D56F">
            <w:pPr>
              <w:rPr>
                <w:b/>
              </w:rPr>
            </w:pPr>
            <w:r>
              <w:rPr>
                <w:b/>
              </w:rPr>
              <w:t>S.No.</w:t>
            </w:r>
          </w:p>
        </w:tc>
        <w:tc>
          <w:tcPr>
            <w:tcW w:w="1418" w:type="dxa"/>
            <w:tcBorders>
              <w:top w:val="single" w:color="000000" w:sz="4" w:space="0"/>
              <w:left w:val="single" w:color="000000" w:sz="4" w:space="0"/>
              <w:bottom w:val="single" w:color="000000" w:sz="4" w:space="0"/>
              <w:right w:val="single" w:color="000000" w:sz="4" w:space="0"/>
            </w:tcBorders>
          </w:tcPr>
          <w:p w14:paraId="1DC7D570">
            <w:pPr>
              <w:rPr>
                <w:b/>
              </w:rPr>
            </w:pPr>
            <w:r>
              <w:rPr>
                <w:b/>
              </w:rPr>
              <w:t>Parameter</w:t>
            </w:r>
          </w:p>
        </w:tc>
        <w:tc>
          <w:tcPr>
            <w:tcW w:w="7371" w:type="dxa"/>
            <w:tcBorders>
              <w:top w:val="single" w:color="000000" w:sz="4" w:space="0"/>
              <w:left w:val="single" w:color="000000" w:sz="4" w:space="0"/>
              <w:bottom w:val="single" w:color="000000" w:sz="4" w:space="0"/>
              <w:right w:val="single" w:color="000000" w:sz="4" w:space="0"/>
            </w:tcBorders>
          </w:tcPr>
          <w:p w14:paraId="1DC7D571">
            <w:pPr>
              <w:rPr>
                <w:b/>
              </w:rPr>
            </w:pPr>
            <w:r>
              <w:rPr>
                <w:b/>
              </w:rPr>
              <w:t>Description</w:t>
            </w:r>
          </w:p>
        </w:tc>
      </w:tr>
      <w:tr w14:paraId="1DC7D576">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73">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74">
            <w:r>
              <w:rPr>
                <w:color w:val="222222"/>
              </w:rPr>
              <w:t>Problem Statement (Problem to be solved)</w:t>
            </w:r>
          </w:p>
        </w:tc>
        <w:tc>
          <w:tcPr>
            <w:tcW w:w="7371" w:type="dxa"/>
            <w:tcBorders>
              <w:top w:val="single" w:color="000000" w:sz="4" w:space="0"/>
              <w:left w:val="single" w:color="000000" w:sz="4" w:space="0"/>
              <w:bottom w:val="single" w:color="000000" w:sz="4" w:space="0"/>
              <w:right w:val="single" w:color="000000" w:sz="4" w:space="0"/>
            </w:tcBorders>
            <w:vAlign w:val="top"/>
          </w:tcPr>
          <w:p w14:paraId="1DC7D575">
            <w:r>
              <w:t>Civil engineers and construction supervisors spend significant time manually analyzing construction site images and preparing structured engineering reports. Identifying materials, structural components, and construction stages requires manual inspection and technical expertise. Traditional documentation methods are time-consuming, subjective, and prone to human error.</w:t>
            </w:r>
          </w:p>
        </w:tc>
      </w:tr>
      <w:tr w14:paraId="1DC7D57A">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77">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78">
            <w:r>
              <w:rPr>
                <w:color w:val="222222"/>
              </w:rPr>
              <w:t>Idea / Solution description</w:t>
            </w:r>
          </w:p>
        </w:tc>
        <w:tc>
          <w:tcPr>
            <w:tcW w:w="7371" w:type="dxa"/>
            <w:tcBorders>
              <w:top w:val="single" w:color="000000" w:sz="4" w:space="0"/>
              <w:left w:val="single" w:color="000000" w:sz="4" w:space="0"/>
              <w:bottom w:val="single" w:color="000000" w:sz="4" w:space="0"/>
              <w:right w:val="single" w:color="000000" w:sz="4" w:space="0"/>
            </w:tcBorders>
            <w:vAlign w:val="top"/>
          </w:tcPr>
          <w:p w14:paraId="1DC7D579">
            <w:r>
              <w:t>Civil Engineering Insight Studio is an AI-powered web application that analyzes construction site images using Google Gemini Vision API. The system generates structured engineering reports including structure type, materials used, structural components (beams, columns, slabs), construction stage, and notable observations. The application provides instant AI-generated insights through a Streamlit-based interface.</w:t>
            </w:r>
          </w:p>
        </w:tc>
      </w:tr>
      <w:tr w14:paraId="1DC7D57E">
        <w:tblPrEx>
          <w:tblCellMar>
            <w:top w:w="0" w:type="dxa"/>
            <w:left w:w="108" w:type="dxa"/>
            <w:bottom w:w="0" w:type="dxa"/>
            <w:right w:w="108" w:type="dxa"/>
          </w:tblCellMar>
        </w:tblPrEx>
        <w:trPr>
          <w:trHeight w:val="787" w:hRule="atLeast"/>
        </w:trPr>
        <w:tc>
          <w:tcPr>
            <w:tcW w:w="704" w:type="dxa"/>
            <w:tcBorders>
              <w:top w:val="single" w:color="000000" w:sz="4" w:space="0"/>
              <w:left w:val="single" w:color="000000" w:sz="4" w:space="0"/>
              <w:bottom w:val="single" w:color="000000" w:sz="4" w:space="0"/>
              <w:right w:val="single" w:color="000000" w:sz="4" w:space="0"/>
            </w:tcBorders>
          </w:tcPr>
          <w:p w14:paraId="1DC7D57B">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7C">
            <w:r>
              <w:rPr>
                <w:color w:val="222222"/>
              </w:rPr>
              <w:t xml:space="preserve">Novelty / Uniqueness </w:t>
            </w:r>
          </w:p>
        </w:tc>
        <w:tc>
          <w:tcPr>
            <w:tcW w:w="7371" w:type="dxa"/>
            <w:tcBorders>
              <w:top w:val="single" w:color="000000" w:sz="4" w:space="0"/>
              <w:left w:val="single" w:color="000000" w:sz="4" w:space="0"/>
              <w:bottom w:val="single" w:color="000000" w:sz="4" w:space="0"/>
              <w:right w:val="single" w:color="000000" w:sz="4" w:space="0"/>
            </w:tcBorders>
            <w:vAlign w:val="top"/>
          </w:tcPr>
          <w:p w14:paraId="1DC7D57D">
            <w:r>
              <w:t>Unlike traditional manual reporting systems, this solution integrates multimodal Generative AI (image + text analysis) to automatically generate professional engineering documentation. The uniqueness lies in combining AI-driven structural analysis with real-time web deployment for practical field usage.</w:t>
            </w:r>
          </w:p>
        </w:tc>
      </w:tr>
      <w:tr w14:paraId="1DC7D582">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7F">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80">
            <w:r>
              <w:rPr>
                <w:color w:val="222222"/>
              </w:rPr>
              <w:t>Social Impact / Customer Satisfaction</w:t>
            </w:r>
          </w:p>
        </w:tc>
        <w:tc>
          <w:tcPr>
            <w:tcW w:w="7371" w:type="dxa"/>
            <w:tcBorders>
              <w:top w:val="single" w:color="000000" w:sz="4" w:space="0"/>
              <w:left w:val="single" w:color="000000" w:sz="4" w:space="0"/>
              <w:bottom w:val="single" w:color="000000" w:sz="4" w:space="0"/>
              <w:right w:val="single" w:color="000000" w:sz="4" w:space="0"/>
            </w:tcBorders>
            <w:vAlign w:val="top"/>
          </w:tcPr>
          <w:p w14:paraId="1DC7D581">
            <w:r>
              <w:t>The platform reduces documentation workload for engineers, improves reporting accuracy, and enhances productivity in construction projects. It supports better decision-making and enables faster project communication among stakeholders.</w:t>
            </w:r>
          </w:p>
        </w:tc>
      </w:tr>
      <w:tr w14:paraId="1DC7D586">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83">
            <w:pPr>
              <w:numPr>
                <w:ilvl w:val="0"/>
                <w:numId w:val="1"/>
              </w:numPr>
              <w:ind w:hanging="360"/>
              <w:rPr>
                <w:color w:val="000000"/>
              </w:rPr>
            </w:pPr>
          </w:p>
        </w:tc>
        <w:tc>
          <w:tcPr>
            <w:tcW w:w="1418" w:type="dxa"/>
            <w:tcBorders>
              <w:top w:val="single" w:color="000000" w:sz="4" w:space="0"/>
              <w:left w:val="single" w:color="000000" w:sz="4" w:space="0"/>
              <w:bottom w:val="single" w:color="000000" w:sz="4" w:space="0"/>
              <w:right w:val="single" w:color="000000" w:sz="4" w:space="0"/>
            </w:tcBorders>
          </w:tcPr>
          <w:p w14:paraId="1DC7D584">
            <w:r>
              <w:rPr>
                <w:color w:val="222222"/>
              </w:rPr>
              <w:t>Business Model (Revenue Model)</w:t>
            </w:r>
          </w:p>
        </w:tc>
        <w:tc>
          <w:tcPr>
            <w:tcW w:w="7371" w:type="dxa"/>
            <w:tcBorders>
              <w:top w:val="single" w:color="000000" w:sz="4" w:space="0"/>
              <w:left w:val="single" w:color="000000" w:sz="4" w:space="0"/>
              <w:bottom w:val="single" w:color="000000" w:sz="4" w:space="0"/>
              <w:right w:val="single" w:color="000000" w:sz="4" w:space="0"/>
            </w:tcBorders>
            <w:vAlign w:val="top"/>
          </w:tcPr>
          <w:p w14:paraId="1DC7D585">
            <w:r>
              <w:t>Potential revenue streams include: 1) Subscription model for premium analysis features, 2) Enterprise licensing for construction firms, 3) API integration services for infrastructure companies, 4) Custom AI solutions for large-scale construction projects.</w:t>
            </w:r>
          </w:p>
        </w:tc>
      </w:tr>
      <w:tr w14:paraId="1DC7D58A">
        <w:tblPrEx>
          <w:tblCellMar>
            <w:top w:w="0" w:type="dxa"/>
            <w:left w:w="108" w:type="dxa"/>
            <w:bottom w:w="0" w:type="dxa"/>
            <w:right w:w="108" w:type="dxa"/>
          </w:tblCellMar>
        </w:tblPrEx>
        <w:trPr>
          <w:trHeight w:val="817" w:hRule="atLeast"/>
        </w:trPr>
        <w:tc>
          <w:tcPr>
            <w:tcW w:w="704" w:type="dxa"/>
            <w:tcBorders>
              <w:top w:val="single" w:color="000000" w:sz="4" w:space="0"/>
              <w:left w:val="single" w:color="000000" w:sz="4" w:space="0"/>
              <w:bottom w:val="single" w:color="000000" w:sz="4" w:space="0"/>
              <w:right w:val="single" w:color="000000" w:sz="4" w:space="0"/>
            </w:tcBorders>
          </w:tcPr>
          <w:p w14:paraId="1DC7D587">
            <w:pPr>
              <w:numPr>
                <w:ilvl w:val="0"/>
                <w:numId w:val="1"/>
              </w:numPr>
              <w:ind w:hanging="360"/>
              <w:rPr>
                <w:color w:val="000000"/>
              </w:rPr>
            </w:pPr>
            <w:bookmarkStart w:id="0" w:name="_GoBack" w:colFirst="2" w:colLast="2"/>
          </w:p>
        </w:tc>
        <w:tc>
          <w:tcPr>
            <w:tcW w:w="1418" w:type="dxa"/>
            <w:tcBorders>
              <w:top w:val="single" w:color="000000" w:sz="4" w:space="0"/>
              <w:left w:val="single" w:color="000000" w:sz="4" w:space="0"/>
              <w:bottom w:val="single" w:color="000000" w:sz="4" w:space="0"/>
              <w:right w:val="single" w:color="000000" w:sz="4" w:space="0"/>
            </w:tcBorders>
          </w:tcPr>
          <w:p w14:paraId="1DC7D588">
            <w:pPr>
              <w:rPr>
                <w:color w:val="222222"/>
              </w:rPr>
            </w:pPr>
            <w:r>
              <w:rPr>
                <w:color w:val="222222"/>
              </w:rPr>
              <w:t>Scalability of the Solution</w:t>
            </w:r>
          </w:p>
        </w:tc>
        <w:tc>
          <w:tcPr>
            <w:tcW w:w="7371" w:type="dxa"/>
            <w:tcBorders>
              <w:top w:val="single" w:color="000000" w:sz="4" w:space="0"/>
              <w:left w:val="single" w:color="000000" w:sz="4" w:space="0"/>
              <w:bottom w:val="single" w:color="000000" w:sz="4" w:space="0"/>
              <w:right w:val="single" w:color="000000" w:sz="4" w:space="0"/>
            </w:tcBorders>
            <w:vAlign w:val="top"/>
          </w:tcPr>
          <w:p w14:paraId="1DC7D589">
            <w:r>
              <w:t>The application follows a stateless architecture and can be deployed on Streamlit Cloud or other cloud hosting platforms. Since AI processing is handled by the Gemini API, scalability primarily depends on API limits and cloud infrastructure. Horizontal scaling can be achieved by deploying multiple instances in cloud environments.</w:t>
            </w:r>
          </w:p>
        </w:tc>
      </w:tr>
      <w:bookmarkEnd w:id="0"/>
    </w:tbl>
    <w:p w14:paraId="68A56ECA"/>
    <w:sectPr>
      <w:pgSz w:w="11906" w:h="16838"/>
      <w:pgMar w:top="851" w:right="1440" w:bottom="1440" w:left="1440" w:header="0" w:footer="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Lucida Sans">
    <w:panose1 w:val="020B0602030504020204"/>
    <w:charset w:val="00"/>
    <w:family w:val="swiss"/>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rbel">
    <w:panose1 w:val="020B0503020204020204"/>
    <w:charset w:val="00"/>
    <w:family w:val="auto"/>
    <w:pitch w:val="default"/>
    <w:sig w:usb0="A00002EF" w:usb1="4000A4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5041A0"/>
    <w:multiLevelType w:val="multilevel"/>
    <w:tmpl w:val="165041A0"/>
    <w:lvl w:ilvl="0" w:tentative="0">
      <w:start w:val="1"/>
      <w:numFmt w:val="decimal"/>
      <w:lvlText w:val="%1."/>
      <w:lvlJc w:val="left"/>
      <w:pPr>
        <w:tabs>
          <w:tab w:val="left" w:pos="0"/>
        </w:tabs>
        <w:ind w:left="644" w:hanging="359"/>
      </w:pPr>
    </w:lvl>
    <w:lvl w:ilvl="1" w:tentative="0">
      <w:start w:val="1"/>
      <w:numFmt w:val="lowerLetter"/>
      <w:lvlText w:val="%2."/>
      <w:lvlJc w:val="left"/>
      <w:pPr>
        <w:tabs>
          <w:tab w:val="left" w:pos="0"/>
        </w:tabs>
        <w:ind w:left="1364" w:hanging="360"/>
      </w:pPr>
    </w:lvl>
    <w:lvl w:ilvl="2" w:tentative="0">
      <w:start w:val="1"/>
      <w:numFmt w:val="lowerRoman"/>
      <w:lvlText w:val="%3."/>
      <w:lvlJc w:val="right"/>
      <w:pPr>
        <w:tabs>
          <w:tab w:val="left" w:pos="0"/>
        </w:tabs>
        <w:ind w:left="2084" w:hanging="180"/>
      </w:pPr>
    </w:lvl>
    <w:lvl w:ilvl="3" w:tentative="0">
      <w:start w:val="1"/>
      <w:numFmt w:val="decimal"/>
      <w:lvlText w:val="%4."/>
      <w:lvlJc w:val="left"/>
      <w:pPr>
        <w:tabs>
          <w:tab w:val="left" w:pos="0"/>
        </w:tabs>
        <w:ind w:left="2804" w:hanging="360"/>
      </w:pPr>
    </w:lvl>
    <w:lvl w:ilvl="4" w:tentative="0">
      <w:start w:val="1"/>
      <w:numFmt w:val="lowerLetter"/>
      <w:lvlText w:val="%5."/>
      <w:lvlJc w:val="left"/>
      <w:pPr>
        <w:tabs>
          <w:tab w:val="left" w:pos="0"/>
        </w:tabs>
        <w:ind w:left="3524" w:hanging="360"/>
      </w:pPr>
    </w:lvl>
    <w:lvl w:ilvl="5" w:tentative="0">
      <w:start w:val="1"/>
      <w:numFmt w:val="lowerRoman"/>
      <w:lvlText w:val="%6."/>
      <w:lvlJc w:val="right"/>
      <w:pPr>
        <w:tabs>
          <w:tab w:val="left" w:pos="0"/>
        </w:tabs>
        <w:ind w:left="4244" w:hanging="180"/>
      </w:pPr>
    </w:lvl>
    <w:lvl w:ilvl="6" w:tentative="0">
      <w:start w:val="1"/>
      <w:numFmt w:val="decimal"/>
      <w:lvlText w:val="%7."/>
      <w:lvlJc w:val="left"/>
      <w:pPr>
        <w:tabs>
          <w:tab w:val="left" w:pos="0"/>
        </w:tabs>
        <w:ind w:left="4964" w:hanging="360"/>
      </w:pPr>
    </w:lvl>
    <w:lvl w:ilvl="7" w:tentative="0">
      <w:start w:val="1"/>
      <w:numFmt w:val="lowerLetter"/>
      <w:lvlText w:val="%8."/>
      <w:lvlJc w:val="left"/>
      <w:pPr>
        <w:tabs>
          <w:tab w:val="left" w:pos="0"/>
        </w:tabs>
        <w:ind w:left="5684" w:hanging="360"/>
      </w:pPr>
    </w:lvl>
    <w:lvl w:ilvl="8" w:tentative="0">
      <w:start w:val="1"/>
      <w:numFmt w:val="lowerRoman"/>
      <w:lvlText w:val="%9."/>
      <w:lvlJc w:val="right"/>
      <w:pPr>
        <w:tabs>
          <w:tab w:val="left" w:pos="0"/>
        </w:tabs>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autoHyphenation/>
  <w:hyphenationZone w:val="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DFA"/>
    <w:rsid w:val="00061D4C"/>
    <w:rsid w:val="001D6032"/>
    <w:rsid w:val="001F0A26"/>
    <w:rsid w:val="002077DB"/>
    <w:rsid w:val="00300C70"/>
    <w:rsid w:val="003E15A5"/>
    <w:rsid w:val="003F5AA1"/>
    <w:rsid w:val="006044E6"/>
    <w:rsid w:val="006B1DFA"/>
    <w:rsid w:val="00847325"/>
    <w:rsid w:val="009B791F"/>
    <w:rsid w:val="00AD52F2"/>
    <w:rsid w:val="00CA0FC2"/>
    <w:rsid w:val="00E9084D"/>
    <w:rsid w:val="00ED5138"/>
    <w:rsid w:val="7E730ACE"/>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uiPriority w:val="0"/>
    <w:pPr>
      <w:spacing w:after="140" w:line="276" w:lineRule="auto"/>
    </w:pPr>
  </w:style>
  <w:style w:type="paragraph" w:styleId="11">
    <w:name w:val="caption"/>
    <w:basedOn w:val="1"/>
    <w:qFormat/>
    <w:uiPriority w:val="0"/>
    <w:pPr>
      <w:suppressLineNumbers/>
      <w:spacing w:before="120" w:after="120"/>
    </w:pPr>
    <w:rPr>
      <w:rFonts w:cs="Lucida Sans"/>
      <w:i/>
      <w:iCs/>
      <w:sz w:val="24"/>
      <w:szCs w:val="24"/>
    </w:rPr>
  </w:style>
  <w:style w:type="character" w:styleId="12">
    <w:name w:val="Hyperlink"/>
    <w:basedOn w:val="8"/>
    <w:unhideWhenUsed/>
    <w:uiPriority w:val="99"/>
    <w:rPr>
      <w:color w:val="0563C1" w:themeColor="hyperlink"/>
      <w:u w:val="single"/>
      <w14:textFill>
        <w14:solidFill>
          <w14:schemeClr w14:val="hlink"/>
        </w14:solidFill>
      </w14:textFill>
    </w:rPr>
  </w:style>
  <w:style w:type="paragraph" w:styleId="13">
    <w:name w:val="List"/>
    <w:basedOn w:val="10"/>
    <w:uiPriority w:val="0"/>
    <w:rPr>
      <w:rFonts w:cs="Lucida San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customStyle="1" w:styleId="18">
    <w:name w:val="Heading"/>
    <w:basedOn w:val="1"/>
    <w:next w:val="10"/>
    <w:qFormat/>
    <w:uiPriority w:val="0"/>
    <w:pPr>
      <w:keepNext/>
      <w:spacing w:before="240" w:after="120"/>
    </w:pPr>
    <w:rPr>
      <w:rFonts w:ascii="Liberation Sans" w:hAnsi="Liberation Sans" w:eastAsia="Microsoft YaHei" w:cs="Lucida Sans"/>
      <w:sz w:val="28"/>
      <w:szCs w:val="28"/>
    </w:rPr>
  </w:style>
  <w:style w:type="paragraph" w:customStyle="1" w:styleId="19">
    <w:name w:val="Index"/>
    <w:basedOn w:val="1"/>
    <w:qFormat/>
    <w:uiPriority w:val="0"/>
    <w:pPr>
      <w:suppressLineNumbers/>
    </w:pPr>
    <w:rPr>
      <w:rFonts w:cs="Lucida Sans"/>
    </w:rPr>
  </w:style>
  <w:style w:type="paragraph" w:styleId="20">
    <w:name w:val="List Paragraph"/>
    <w:basedOn w:val="1"/>
    <w:qFormat/>
    <w:uiPriority w:val="34"/>
    <w:pPr>
      <w:ind w:left="720"/>
      <w:contextualSpacing/>
    </w:pPr>
  </w:style>
  <w:style w:type="paragraph" w:customStyle="1" w:styleId="21">
    <w:name w:val="normal1"/>
    <w:qFormat/>
    <w:uiPriority w:val="0"/>
    <w:pPr>
      <w:suppressAutoHyphens/>
      <w:spacing w:line="276" w:lineRule="auto"/>
    </w:pPr>
    <w:rPr>
      <w:rFonts w:asciiTheme="minorHAnsi" w:hAnsiTheme="minorHAnsi" w:eastAsiaTheme="minorHAnsi" w:cstheme="minorBidi"/>
      <w:sz w:val="22"/>
      <w:szCs w:val="22"/>
      <w:lang w:val="en-US" w:eastAsia="en-US" w:bidi="ar-SA"/>
    </w:rPr>
  </w:style>
  <w:style w:type="paragraph" w:customStyle="1" w:styleId="22">
    <w:name w:val="Table Paragraph"/>
    <w:basedOn w:val="1"/>
    <w:qFormat/>
    <w:uiPriority w:val="0"/>
    <w:rPr>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372</Words>
  <Characters>2127</Characters>
  <Lines>17</Lines>
  <Paragraphs>4</Paragraphs>
  <TotalTime>0</TotalTime>
  <ScaleCrop>false</ScaleCrop>
  <LinksUpToDate>false</LinksUpToDate>
  <CharactersWithSpaces>2495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Vallisravan Veeramallu</cp:lastModifiedBy>
  <dcterms:modified xsi:type="dcterms:W3CDTF">2026-02-17T10:15:58Z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1BCEA1D7F30644C5868D9D6C5EEDA1DB_13</vt:lpwstr>
  </property>
</Properties>
</file>