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40" w:line="240" w:lineRule="auto"/>
        <w:ind w:firstLine="202"/>
        <w:jc w:val="center"/>
      </w:pPr>
      <w:r>
        <w:rPr>
          <w:rFonts w:ascii="Times New Roman" w:hAnsi="Times New Roman"/>
          <w:b w:val="0"/>
          <w:i w:val="0"/>
          <w:color w:val="000000"/>
          <w:sz w:val="18"/>
        </w:rPr>
        <w:t>VitaNexus-RX: An Evidence-Bounded Clinical Decision Support System for Safety-Aware Same-Indication Alternative Recommendation</w:t>
      </w:r>
    </w:p>
    <w:p>
      <w:pPr>
        <w:keepNext/>
        <w:spacing w:after="40" w:line="240" w:lineRule="auto"/>
        <w:ind w:firstLine="202"/>
        <w:sectPr>
          <w:type w:val="continuous"/>
          <w:pgSz w:w="12240" w:h="15840"/>
          <w:pgMar w:top="720" w:right="720" w:bottom="720" w:left="720" w:header="360" w:footer="360" w:gutter="0"/>
          <w:cols w:num="1" w:space="0"/>
        </w:sectPr>
        <w:jc w:val="center"/>
      </w:pPr>
      <w:r>
        <w:rPr>
          <w:rFonts w:ascii="Times New Roman" w:hAnsi="Times New Roman"/>
          <w:b w:val="0"/>
          <w:i w:val="0"/>
          <w:color w:val="000000"/>
          <w:sz w:val="18"/>
        </w:rPr>
        <w:t>Sravan Ramaraju</w:t>
      </w:r>
    </w:p>
    <w:p>
      <w:pPr>
        <w:pageBreakBefore w:val="0"/>
        <w:spacing w:after="40" w:line="240" w:lineRule="auto"/>
        <w:ind w:firstLine="202"/>
        <w:jc w:val="both"/>
      </w:pPr>
      <w:r>
        <w:rPr>
          <w:rFonts w:ascii="Times New Roman" w:hAnsi="Times New Roman"/>
          <w:b w:val="0"/>
          <w:i w:val="0"/>
          <w:color w:val="000000"/>
          <w:sz w:val="18"/>
        </w:rPr>
        <w:t>Abstract—</w:t>
      </w:r>
      <w:r>
        <w:rPr>
          <w:rFonts w:ascii="Times New Roman" w:hAnsi="Times New Roman"/>
          <w:b w:val="0"/>
          <w:i w:val="0"/>
          <w:color w:val="000000"/>
          <w:sz w:val="18"/>
        </w:rPr>
        <w:t>VitaNexus-RX is an implemented clinical decision support system that combines source-based medication safety evidence with learned adverse-risk evidence to support review of same-indication candidate alternatives. The runtime evaluates candidate drug and active-medication pairs against DDInter, candidate drug and resolvable conditions against DrugCentral, and preserves a distinction between a completed lookup with no documented relationship and an unresolved or failed lookup. Its learned component is a calibrated LightGBM model whose task is to estimate whether a FAERS report in the represented context belongs to a serious-outcome class; it is not a patient-level adverse-event probability. Bootstrap variation and split conformal classification information are displayed as reliability information, while the conservative upper bootstrap bound participates in ranking. Candidates with a major DDI or high drug-disease restriction are excluded before scoring. Remaining fully evaluated candidates are ranked by a deterministic weighted combination of adjusted LightGBM risk, DDInter risk, and DrugCentral drug-disease risk. On an untouched 2026 holdout of 696,604 reports, the selected LightGBM operating point achieved AUROC 0.8177, AUPRC 0.8212, F1 0.7823, sensitivity 90.18%, specificity 54.04%, Brier score 0.1743, and ECE 0.0358. The manuscript documents the implemented scope, evidence contracts, evaluation artifact, and limitations; it does not claim clinical validation, prevention of adverse drug reactions, or patient-outcome prediction.</w:t>
      </w:r>
    </w:p>
    <w:p>
      <w:pPr>
        <w:spacing w:after="40" w:line="240" w:lineRule="auto"/>
        <w:ind w:firstLine="202"/>
        <w:jc w:val="both"/>
      </w:pPr>
      <w:r>
        <w:rPr>
          <w:rFonts w:ascii="Times New Roman" w:hAnsi="Times New Roman"/>
          <w:b w:val="0"/>
          <w:i w:val="0"/>
          <w:color w:val="000000"/>
          <w:sz w:val="18"/>
        </w:rPr>
        <w:t>Index Terms—</w:t>
      </w:r>
      <w:r>
        <w:rPr>
          <w:rFonts w:ascii="Times New Roman" w:hAnsi="Times New Roman"/>
          <w:b w:val="0"/>
          <w:i w:val="0"/>
          <w:color w:val="000000"/>
          <w:sz w:val="18"/>
        </w:rPr>
        <w:t>clinical decision support, drug-drug interaction, drug-disease interaction, LightGBM, conformal prediction, FAERS, medication recommendation.</w:t>
      </w:r>
    </w:p>
    <w:p>
      <w:pPr>
        <w:pStyle w:val="Heading1"/>
        <w:keepNext/>
        <w:spacing w:before="140" w:after="40"/>
        <w:ind w:firstLine="0"/>
        <w:jc w:val="left"/>
      </w:pPr>
      <w:r>
        <w:rPr>
          <w:rFonts w:ascii="Times New Roman" w:hAnsi="Times New Roman"/>
          <w:b/>
          <w:i w:val="0"/>
          <w:color w:val="00529B"/>
          <w:sz w:val="18"/>
        </w:rPr>
        <w:t>I. INTRODUCTION</w:t>
      </w:r>
    </w:p>
    <w:p>
      <w:pPr>
        <w:spacing w:after="40" w:line="240" w:lineRule="auto"/>
        <w:ind w:firstLine="202"/>
        <w:jc w:val="both"/>
      </w:pPr>
      <w:r>
        <w:rPr>
          <w:rFonts w:ascii="Times New Roman" w:hAnsi="Times New Roman"/>
          <w:b w:val="0"/>
          <w:i w:val="0"/>
          <w:color w:val="000000"/>
          <w:sz w:val="18"/>
        </w:rPr>
        <w:t>Medication recommendation systems must reconcile therapeutic relevance with evidence about drug-drug and drug-disease relationships. Prior work has explored message propagation and DDI-gated recommendation [1], graph-based DDI prediction [2], [5], and [11], visit- and relation-based medication recommendation [3], [7], [8], and [9], and patient-specific generative recommendation concepts [6]. These studies motivate the need to make the provenance and operational meaning of each evidence source explicit. They do not establish the performance or clinical validity of VitaNexus-RX.</w:t>
      </w:r>
    </w:p>
    <w:p>
      <w:pPr>
        <w:spacing w:after="40" w:line="240" w:lineRule="auto"/>
        <w:ind w:firstLine="202"/>
        <w:jc w:val="both"/>
      </w:pPr>
      <w:r>
        <w:rPr>
          <w:rFonts w:ascii="Times New Roman" w:hAnsi="Times New Roman"/>
          <w:b w:val="0"/>
          <w:i w:val="0"/>
          <w:color w:val="000000"/>
          <w:sz w:val="18"/>
        </w:rPr>
        <w:t>The design problem addressed here is an integration problem: a clinician-facing CDSS should preserve source evidence, avoid treating unresolved terms as safe, prevent high-severity source evidence from being hidden by a favorable learned score, and give a deterministic explanation for recommendation order. VitaNexus-RX implements that workflow. Its contribution is the integration of these controls in an executable system rather than a claim of a novel DDI model, a novel conformal method, or a clinically validated prescribing intervention.</w:t>
      </w:r>
    </w:p>
    <w:p>
      <w:pPr>
        <w:spacing w:after="40" w:line="240" w:lineRule="auto"/>
        <w:ind w:firstLine="202"/>
        <w:jc w:val="both"/>
      </w:pPr>
      <w:r>
        <w:rPr>
          <w:rFonts w:ascii="Times New Roman" w:hAnsi="Times New Roman"/>
          <w:b w:val="0"/>
          <w:i w:val="0"/>
          <w:color w:val="000000"/>
          <w:sz w:val="18"/>
        </w:rPr>
        <w:t>The system has a deliberately bounded interpretation. The LightGBM model estimates the probability that a FAERS adverse-event report represented by the runtime inputs belongs to the serious-outcome class. FAERS has no exposed-population denominator in this workflow, so this output cannot be interpreted as the probability that a particular patient will experience any adverse event, require hospitalization, or benefit from a candidate drug.</w:t>
      </w:r>
    </w:p>
    <w:p>
      <w:pPr>
        <w:pStyle w:val="Heading1"/>
        <w:keepNext/>
        <w:spacing w:before="120" w:after="40"/>
        <w:ind w:firstLine="0"/>
        <w:jc w:val="left"/>
      </w:pPr>
      <w:r>
        <w:rPr>
          <w:rFonts w:ascii="Times New Roman" w:hAnsi="Times New Roman"/>
          <w:b/>
          <w:i w:val="0"/>
          <w:color w:val="00529B"/>
          <w:sz w:val="18"/>
        </w:rPr>
        <w:t>II. RELATED WORK AND DESIGN MOTIVATION</w:t>
      </w:r>
    </w:p>
    <w:p>
      <w:pPr>
        <w:spacing w:before="0" w:after="40" w:line="240" w:lineRule="auto"/>
        <w:ind w:firstLine="202"/>
        <w:jc w:val="both"/>
      </w:pPr>
      <w:r>
        <w:rPr>
          <w:rFonts w:ascii="Times New Roman" w:hAnsi="Times New Roman"/>
          <w:b w:val="0"/>
          <w:i w:val="0"/>
          <w:sz w:val="18"/>
        </w:rPr>
        <w:t>Medication selection in a consultation is not a single prediction problem. A candidate can be therapeutically related to a selected indication while also having evidence of a drug-drug interaction (DDI), a drug-disease relationship, incomplete terminology coverage, or a learned adverse-report outcome profile that should be interpreted separately from source evidence. A useful decision-support workflow therefore has to retain the provenance and semantics of each result instead of compressing all outputs into one unqualified score.</w:t>
      </w:r>
    </w:p>
    <w:p>
      <w:pPr>
        <w:spacing w:before="0" w:after="40" w:line="240" w:lineRule="auto"/>
        <w:ind w:firstLine="202"/>
        <w:jc w:val="both"/>
      </w:pPr>
      <w:r>
        <w:rPr>
          <w:rFonts w:ascii="Times New Roman" w:hAnsi="Times New Roman"/>
          <w:b w:val="0"/>
          <w:i w:val="0"/>
          <w:sz w:val="18"/>
        </w:rPr>
        <w:t>The work reported here addresses that integration problem. VitaNexus-RX is an implemented clinician-facing clinical decision support system (CDSS) that begins with patient context and a selected indication, evaluates medication safety through external knowledge sources, obtains an adverse-risk prediction from a frozen LightGBM artifact, reports uncertainty and a conformal prediction set, and ranks only candidates that pass the source-evidence safety gate. The design intentionally distinguishes a documented absence of a source record from a lookup that could not be completed.</w:t>
      </w:r>
    </w:p>
    <w:p>
      <w:pPr>
        <w:spacing w:before="0" w:after="40" w:line="240" w:lineRule="auto"/>
        <w:ind w:firstLine="202"/>
        <w:jc w:val="both"/>
      </w:pPr>
      <w:r>
        <w:rPr>
          <w:rFonts w:ascii="Times New Roman" w:hAnsi="Times New Roman"/>
          <w:b w:val="0"/>
          <w:i w:val="0"/>
          <w:sz w:val="18"/>
        </w:rPr>
        <w:t>The learned adverse-risk component has a narrow target. It estimates the probability that a FAERS adverse-event report represented by the supplied context belongs to the serious-outcome class. It is not an estimate of the probability that the current patient will experience an adverse event, require hospitalisation, or have a particular clinical outcome. This boundary is central to the user interface and to the ranking policy because FAERS is a spontaneous-report source rather than a population-incidence dataset.</w:t>
      </w:r>
    </w:p>
    <w:p>
      <w:pPr>
        <w:spacing w:before="0" w:after="40" w:line="240" w:lineRule="auto"/>
        <w:ind w:firstLine="202"/>
        <w:jc w:val="both"/>
      </w:pPr>
      <w:r>
        <w:rPr>
          <w:rFonts w:ascii="Times New Roman" w:hAnsi="Times New Roman"/>
          <w:b w:val="0"/>
          <w:i w:val="0"/>
          <w:sz w:val="18"/>
        </w:rPr>
        <w:t>The paper makes implementation-centered contributions rather than claiming a new clinical model. First, it specifies a provenance-preserving safety contract that separates documented DDInter and DrugCentral findings, valid empty results, and unresolved or failed lookups. Second, it describes an end-to-end integration in which a calibrated LightGBM serious-outcome reporting task, bootstrap variability, and split conformal classification are exposed without replacing source-based safety logic. Third, it documents a same-indication candidate workflow with explicit safety eligibility and reproducible, reliability-aware ordering. The system is intended for decision support; it does not replace clinical judgment or constitute clinical validation.</w:t>
      </w:r>
    </w:p>
    <w:p>
      <w:pPr>
        <w:pStyle w:val="Heading1"/>
        <w:keepNext/>
        <w:spacing w:before="120" w:after="40"/>
        <w:ind w:firstLine="0"/>
        <w:jc w:val="left"/>
      </w:pPr>
      <w:r>
        <w:rPr>
          <w:rFonts w:ascii="Times New Roman" w:hAnsi="Times New Roman"/>
          <w:b/>
          <w:i w:val="0"/>
          <w:color w:val="00529B"/>
          <w:sz w:val="18"/>
        </w:rPr>
        <w:t>III. SYSTEM SCOPE AND PROBLEM FORMULATION</w:t>
      </w:r>
    </w:p>
    <w:p>
      <w:pPr>
        <w:spacing w:after="40" w:line="240" w:lineRule="auto"/>
        <w:ind w:firstLine="202"/>
        <w:jc w:val="both"/>
      </w:pPr>
      <w:r>
        <w:rPr>
          <w:rFonts w:ascii="Times New Roman" w:hAnsi="Times New Roman"/>
          <w:b w:val="0"/>
          <w:i w:val="0"/>
          <w:color w:val="000000"/>
          <w:sz w:val="18"/>
        </w:rPr>
        <w:t>The submitted consultation must contain a selected DrugCentral indication with identifier, source, dataset version, and normalized display text. The service verifies this provenance rather than accepting an arbitrary typed indication. The FAERS runtime vector contains age, sex, canonical candidate drug, selected indication, and active medicines. Conditions are evaluated through DrugCentral evidence. Allergy information is retained for clinician display only and is not an automated Drug-Allergy Interaction analysis, a LightGBM input, or a ranking factor in the current code.</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1267"/>
            <w:shd w:fill="00529B"/>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i w:val="0"/>
                <w:color w:val="FFFFFF"/>
                <w:sz w:val="13"/>
              </w:rPr>
              <w:t>Component</w:t>
            </w:r>
          </w:p>
        </w:tc>
        <w:tc>
          <w:tcPr>
            <w:tcW w:type="dxa" w:w="2563"/>
            <w:shd w:fill="00529B"/>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i w:val="0"/>
                <w:color w:val="FFFFFF"/>
                <w:sz w:val="13"/>
              </w:rPr>
              <w:t>Operational role</w:t>
            </w:r>
          </w:p>
        </w:tc>
        <w:tc>
          <w:tcPr>
            <w:tcW w:type="dxa" w:w="778"/>
            <w:shd w:fill="00529B"/>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i w:val="0"/>
                <w:color w:val="FFFFFF"/>
                <w:sz w:val="13"/>
              </w:rPr>
              <w:t>Runtime status</w:t>
            </w:r>
          </w:p>
        </w:tc>
      </w:tr>
      <w:tr>
        <w:trPr>
          <w:cantSplit/>
        </w:trPr>
        <w:tc>
          <w:tcPr>
            <w:tcW w:type="dxa" w:w="1267"/>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Source provenance</w:t>
            </w:r>
          </w:p>
        </w:tc>
        <w:tc>
          <w:tcPr>
            <w:tcW w:type="dxa" w:w="2563"/>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Indication selection is validated against DrugCentral knowledge before consultation submission.</w:t>
            </w:r>
          </w:p>
        </w:tc>
        <w:tc>
          <w:tcPr>
            <w:tcW w:type="dxa" w:w="77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Implemented</w:t>
            </w:r>
          </w:p>
        </w:tc>
      </w:tr>
      <w:tr>
        <w:trPr>
          <w:cantSplit/>
        </w:trPr>
        <w:tc>
          <w:tcPr>
            <w:tcW w:type="dxa" w:w="1267"/>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DDI evidence</w:t>
            </w:r>
          </w:p>
        </w:tc>
        <w:tc>
          <w:tcPr>
            <w:tcW w:type="dxa" w:w="2563"/>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Every candidate × active medication pair is evaluated; the worst documented relationship is retained.</w:t>
            </w:r>
          </w:p>
        </w:tc>
        <w:tc>
          <w:tcPr>
            <w:tcW w:type="dxa" w:w="778"/>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Implemented</w:t>
            </w:r>
          </w:p>
        </w:tc>
      </w:tr>
      <w:tr>
        <w:trPr>
          <w:cantSplit/>
        </w:trPr>
        <w:tc>
          <w:tcPr>
            <w:tcW w:type="dxa" w:w="1267"/>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Drug-disease evidence</w:t>
            </w:r>
          </w:p>
        </w:tc>
        <w:tc>
          <w:tcPr>
            <w:tcW w:type="dxa" w:w="2563"/>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Every candidate × resolvable condition is evaluated; the worst documented assessment is retained.</w:t>
            </w:r>
          </w:p>
        </w:tc>
        <w:tc>
          <w:tcPr>
            <w:tcW w:type="dxa" w:w="77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Implemented</w:t>
            </w:r>
          </w:p>
        </w:tc>
      </w:tr>
      <w:tr>
        <w:trPr>
          <w:cantSplit/>
        </w:trPr>
        <w:tc>
          <w:tcPr>
            <w:tcW w:type="dxa" w:w="1267"/>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Unresolved inputs</w:t>
            </w:r>
          </w:p>
        </w:tc>
        <w:tc>
          <w:tcPr>
            <w:tcW w:type="dxa" w:w="2563"/>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Lookup failure, ambiguous identifiers, or unresolved terms require clinical review; no low-risk value is inferred.</w:t>
            </w:r>
          </w:p>
        </w:tc>
        <w:tc>
          <w:tcPr>
            <w:tcW w:type="dxa" w:w="778"/>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Implemented</w:t>
            </w:r>
          </w:p>
        </w:tc>
      </w:tr>
      <w:tr>
        <w:trPr>
          <w:cantSplit/>
        </w:trPr>
        <w:tc>
          <w:tcPr>
            <w:tcW w:type="dxa" w:w="1267"/>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Alternative generation</w:t>
            </w:r>
          </w:p>
        </w:tc>
        <w:tc>
          <w:tcPr>
            <w:tcW w:type="dxa" w:w="2563"/>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Candidates are selected from a same-indication DrugCentral relationship and the current candidate is excluded.</w:t>
            </w:r>
          </w:p>
        </w:tc>
        <w:tc>
          <w:tcPr>
            <w:tcW w:type="dxa" w:w="77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Integrated</w:t>
            </w:r>
          </w:p>
        </w:tc>
      </w:tr>
      <w:tr>
        <w:trPr>
          <w:cantSplit/>
        </w:trPr>
        <w:tc>
          <w:tcPr>
            <w:tcW w:type="dxa" w:w="1267"/>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Brand mapping</w:t>
            </w:r>
          </w:p>
        </w:tc>
        <w:tc>
          <w:tcPr>
            <w:tcW w:type="dxa" w:w="2563"/>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Indian brand mapping is presented after candidate generation as clinician-facing decision support.</w:t>
            </w:r>
          </w:p>
        </w:tc>
        <w:tc>
          <w:tcPr>
            <w:tcW w:type="dxa" w:w="778"/>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Integrated</w:t>
            </w:r>
          </w:p>
        </w:tc>
      </w:tr>
    </w:tbl>
    <w:p>
      <w:pPr>
        <w:keepNext/>
        <w:spacing w:before="60" w:after="40"/>
        <w:ind w:firstLine="0"/>
        <w:jc w:val="center"/>
      </w:pPr>
      <w:r>
        <w:rPr>
          <w:rFonts w:ascii="Times New Roman" w:hAnsi="Times New Roman"/>
          <w:b w:val="0"/>
          <w:i w:val="0"/>
          <w:sz w:val="16"/>
        </w:rPr>
        <w:t>TABLE II. Runtime components and operational roles.</w:t>
      </w:r>
    </w:p>
    <w:p>
      <w:pPr>
        <w:spacing w:before="0" w:after="40" w:line="240" w:lineRule="auto"/>
        <w:ind w:firstLine="202"/>
        <w:jc w:val="both"/>
      </w:pPr>
      <w:r>
        <w:rPr>
          <w:rFonts w:ascii="Times New Roman" w:hAnsi="Times New Roman"/>
          <w:b w:val="0"/>
          <w:i w:val="0"/>
          <w:sz w:val="18"/>
        </w:rPr>
        <w:t>Prior medication-recommendation studies have investigated prescription inference, visit representation, multi-view learning, causal perspectives, and DDI-aware recommendation. Ren et al. [1] present a recommendation model with DDI gating, while Li et al. [3], Meng et al. [7], He et al. [8], and Zhang et al. [9] study distinct approaches to medication recommendation or prescription inference. These studies motivate the need to make therapeutic relevance and safety constraints visible in the decision path; they do not establish the performance of VitaNexus-RX.</w:t>
      </w:r>
    </w:p>
    <w:p>
      <w:pPr>
        <w:spacing w:before="0" w:after="40" w:line="240" w:lineRule="auto"/>
        <w:ind w:firstLine="202"/>
        <w:jc w:val="both"/>
      </w:pPr>
      <w:r>
        <w:rPr>
          <w:rFonts w:ascii="Times New Roman" w:hAnsi="Times New Roman"/>
          <w:b w:val="0"/>
          <w:i w:val="0"/>
          <w:sz w:val="18"/>
        </w:rPr>
        <w:t>The supplied DDI literature also illustrates several computational representations for interaction prediction or reasoning, including atomic-position and message-passing graph learning [2], graph attention over a biomedical knowledge graph [5], and logical query reasoning [11]. VitaNexus-RX does not substitute a graph-predicted interaction for source-based DDI evidence in its clinical safety gate. Instead, the deployed gate uses the DDInter lookup state and preserves whether a pair was resolved, had a documented record, had no record after successful lookup, or could not be evaluated.</w:t>
      </w:r>
    </w:p>
    <w:p>
      <w:pPr>
        <w:spacing w:before="0" w:after="40" w:line="240" w:lineRule="auto"/>
        <w:ind w:firstLine="202"/>
        <w:jc w:val="both"/>
      </w:pPr>
      <w:r>
        <w:rPr>
          <w:rFonts w:ascii="Times New Roman" w:hAnsi="Times New Roman"/>
          <w:b w:val="0"/>
          <w:i w:val="0"/>
          <w:sz w:val="18"/>
        </w:rPr>
        <w:t>Uncertainty communication and patient-context modeling appear in other supplied work. Pintawong et al. [4] apply conformal prediction in a breast-cancer image-classification setting, and Daglarli [6] discusses patient-specific explainable drug and dosage recommendation. Wu et al. [10] discusses integrating multi-source domain knowledge for clinical prediction. Those works provide related methodological context. In VitaNexus-RX, split conformal prediction is limited to the FAERS serious-outcome classification task, and explainability is supplied by source provenance, safety states, feature coverage, and persisted decision snapshots rather than by a claim of causal explanation.</w:t>
      </w:r>
    </w:p>
    <w:p>
      <w:pPr>
        <w:spacing w:before="0" w:after="40" w:line="240" w:lineRule="auto"/>
        <w:ind w:firstLine="202"/>
        <w:jc w:val="both"/>
      </w:pPr>
      <w:r>
        <w:rPr>
          <w:rFonts w:ascii="Times New Roman" w:hAnsi="Times New Roman"/>
          <w:b w:val="0"/>
          <w:i w:val="0"/>
          <w:sz w:val="18"/>
        </w:rPr>
        <w:t>The design motivation is therefore integration with boundaries: source-based clinical-safety checks remain authoritative for their own evidence, the learned model reports a distinct reporting-task estimate, and ranking is available only after the safety contract permits a candidate to proceed. Table I positions the supplied literature by the aspect used for design context and distinguishes those contexts from the implemented system integration.</w:t>
      </w:r>
    </w:p>
    <w:p>
      <w:pPr>
        <w:keepNext/>
        <w:spacing w:before="60" w:after="40"/>
        <w:jc w:val="center"/>
      </w:pPr>
      <w:r>
        <w:rPr>
          <w:rFonts w:ascii="Times New Roman" w:hAnsi="Times New Roman"/>
          <w:b w:val="0"/>
          <w:i w:val="0"/>
          <w:sz w:val="16"/>
        </w:rPr>
        <w:t>TABLE I. Supplied literature used as design context.</w:t>
      </w:r>
    </w:p>
    <w:tbl>
      <w:tblPr>
        <w:tblStyle w:val="TableGrid"/>
        <w:tblW w:type="dxa" w:w="4320"/>
        <w:tblLayout w:type="fixed"/>
        <w:tblLook w:firstColumn="1" w:firstRow="1" w:lastColumn="0" w:lastRow="0" w:noHBand="0" w:noVBand="1" w:val="04A0"/>
      </w:tblPr>
      <w:tblGrid>
        <w:gridCol w:w="3600"/>
        <w:gridCol w:w="3600"/>
        <w:gridCol w:w="3600"/>
      </w:tblGrid>
      <w:tr>
        <w:tc>
          <w:tcPr>
            <w:tcW w:type="dxa" w:w="1238"/>
            <w:shd w:fill="1F4E79"/>
            <w:vAlign w:val="center"/>
          </w:tcPr>
          <w:p>
            <w:pPr>
              <w:spacing w:before="20" w:after="20"/>
              <w:jc w:val="center"/>
            </w:pPr>
            <w:r>
              <w:rPr>
                <w:sz w:val="13"/>
              </w:rPr>
            </w:r>
            <w:r>
              <w:rPr>
                <w:rFonts w:ascii="Times New Roman" w:hAnsi="Times New Roman"/>
                <w:b/>
                <w:i w:val="0"/>
                <w:color w:val="FFFFFF"/>
                <w:sz w:val="13"/>
              </w:rPr>
              <w:t>Research context</w:t>
            </w:r>
          </w:p>
        </w:tc>
        <w:tc>
          <w:tcPr>
            <w:tcW w:type="dxa" w:w="893"/>
            <w:shd w:fill="1F4E79"/>
            <w:vAlign w:val="center"/>
          </w:tcPr>
          <w:p>
            <w:pPr>
              <w:spacing w:before="20" w:after="20"/>
              <w:jc w:val="center"/>
            </w:pPr>
            <w:r>
              <w:rPr>
                <w:sz w:val="13"/>
              </w:rPr>
            </w:r>
            <w:r>
              <w:rPr>
                <w:rFonts w:ascii="Times New Roman" w:hAnsi="Times New Roman"/>
                <w:b/>
                <w:i w:val="0"/>
                <w:color w:val="FFFFFF"/>
                <w:sz w:val="13"/>
              </w:rPr>
              <w:t>Supplied references</w:t>
            </w:r>
          </w:p>
        </w:tc>
        <w:tc>
          <w:tcPr>
            <w:tcW w:type="dxa" w:w="2189"/>
            <w:shd w:fill="1F4E79"/>
            <w:vAlign w:val="center"/>
          </w:tcPr>
          <w:p>
            <w:pPr>
              <w:spacing w:before="20" w:after="20"/>
              <w:jc w:val="center"/>
            </w:pPr>
            <w:r>
              <w:rPr>
                <w:sz w:val="13"/>
              </w:rPr>
            </w:r>
            <w:r>
              <w:rPr>
                <w:rFonts w:ascii="Times New Roman" w:hAnsi="Times New Roman"/>
                <w:b/>
                <w:i w:val="0"/>
                <w:color w:val="FFFFFF"/>
                <w:sz w:val="13"/>
              </w:rPr>
              <w:t>Relevance to this work</w:t>
            </w:r>
          </w:p>
        </w:tc>
      </w:tr>
      <w:tr>
        <w:tc>
          <w:tcPr>
            <w:tcW w:type="dxa" w:w="1238"/>
            <w:vAlign w:val="center"/>
          </w:tcPr>
          <w:p>
            <w:pPr>
              <w:spacing w:before="20" w:after="20"/>
              <w:jc w:val="left"/>
            </w:pPr>
            <w:r>
              <w:rPr>
                <w:sz w:val="13"/>
              </w:rPr>
            </w:r>
            <w:r>
              <w:rPr>
                <w:rFonts w:ascii="Times New Roman" w:hAnsi="Times New Roman"/>
                <w:b w:val="0"/>
                <w:i w:val="0"/>
                <w:sz w:val="13"/>
              </w:rPr>
              <w:t>DDI-aware recommendation</w:t>
            </w:r>
          </w:p>
        </w:tc>
        <w:tc>
          <w:tcPr>
            <w:tcW w:type="dxa" w:w="893"/>
            <w:vAlign w:val="center"/>
          </w:tcPr>
          <w:p>
            <w:pPr>
              <w:spacing w:before="20" w:after="20"/>
              <w:jc w:val="left"/>
            </w:pPr>
            <w:r>
              <w:rPr>
                <w:sz w:val="13"/>
              </w:rPr>
            </w:r>
            <w:r>
              <w:rPr>
                <w:rFonts w:ascii="Times New Roman" w:hAnsi="Times New Roman"/>
                <w:b w:val="0"/>
                <w:i w:val="0"/>
                <w:sz w:val="13"/>
              </w:rPr>
              <w:t>[1]</w:t>
            </w:r>
          </w:p>
        </w:tc>
        <w:tc>
          <w:tcPr>
            <w:tcW w:type="dxa" w:w="2189"/>
            <w:vAlign w:val="center"/>
          </w:tcPr>
          <w:p>
            <w:pPr>
              <w:spacing w:before="20" w:after="20"/>
              <w:jc w:val="left"/>
            </w:pPr>
            <w:r>
              <w:rPr>
                <w:sz w:val="13"/>
              </w:rPr>
            </w:r>
            <w:r>
              <w:rPr>
                <w:rFonts w:ascii="Times New Roman" w:hAnsi="Times New Roman"/>
                <w:b w:val="0"/>
                <w:i w:val="0"/>
                <w:sz w:val="13"/>
              </w:rPr>
              <w:t>Motivates visible interaction gating in recommendation workflows.</w:t>
            </w:r>
          </w:p>
        </w:tc>
      </w:tr>
      <w:tr>
        <w:tc>
          <w:tcPr>
            <w:tcW w:type="dxa" w:w="1238"/>
            <w:shd w:fill="EAF2F8"/>
            <w:vAlign w:val="center"/>
          </w:tcPr>
          <w:p>
            <w:pPr>
              <w:spacing w:before="20" w:after="20"/>
              <w:jc w:val="left"/>
            </w:pPr>
            <w:r>
              <w:rPr>
                <w:sz w:val="13"/>
              </w:rPr>
            </w:r>
            <w:r>
              <w:rPr>
                <w:rFonts w:ascii="Times New Roman" w:hAnsi="Times New Roman"/>
                <w:b w:val="0"/>
                <w:i w:val="0"/>
                <w:sz w:val="13"/>
              </w:rPr>
              <w:t>Drug interaction prediction and reasoning</w:t>
            </w:r>
          </w:p>
        </w:tc>
        <w:tc>
          <w:tcPr>
            <w:tcW w:type="dxa" w:w="893"/>
            <w:shd w:fill="EAF2F8"/>
            <w:vAlign w:val="center"/>
          </w:tcPr>
          <w:p>
            <w:pPr>
              <w:spacing w:before="20" w:after="20"/>
              <w:jc w:val="left"/>
            </w:pPr>
            <w:r>
              <w:rPr>
                <w:sz w:val="13"/>
              </w:rPr>
            </w:r>
            <w:r>
              <w:rPr>
                <w:rFonts w:ascii="Times New Roman" w:hAnsi="Times New Roman"/>
                <w:b w:val="0"/>
                <w:i w:val="0"/>
                <w:sz w:val="13"/>
              </w:rPr>
              <w:t>[2], [5], [11]</w:t>
            </w:r>
          </w:p>
        </w:tc>
        <w:tc>
          <w:tcPr>
            <w:tcW w:type="dxa" w:w="2189"/>
            <w:shd w:fill="EAF2F8"/>
            <w:vAlign w:val="center"/>
          </w:tcPr>
          <w:p>
            <w:pPr>
              <w:spacing w:before="20" w:after="20"/>
              <w:jc w:val="left"/>
            </w:pPr>
            <w:r>
              <w:rPr>
                <w:sz w:val="13"/>
              </w:rPr>
            </w:r>
            <w:r>
              <w:rPr>
                <w:rFonts w:ascii="Times New Roman" w:hAnsi="Times New Roman"/>
                <w:b w:val="0"/>
                <w:i w:val="0"/>
                <w:sz w:val="13"/>
              </w:rPr>
              <w:t>Provides context for computational DDI representations; not deployed as the source gate.</w:t>
            </w:r>
          </w:p>
        </w:tc>
      </w:tr>
      <w:tr>
        <w:tc>
          <w:tcPr>
            <w:tcW w:type="dxa" w:w="1238"/>
            <w:vAlign w:val="center"/>
          </w:tcPr>
          <w:p>
            <w:pPr>
              <w:spacing w:before="20" w:after="20"/>
              <w:jc w:val="left"/>
            </w:pPr>
            <w:r>
              <w:rPr>
                <w:sz w:val="13"/>
              </w:rPr>
            </w:r>
            <w:r>
              <w:rPr>
                <w:rFonts w:ascii="Times New Roman" w:hAnsi="Times New Roman"/>
                <w:b w:val="0"/>
                <w:i w:val="0"/>
                <w:sz w:val="13"/>
              </w:rPr>
              <w:t>Medication recommendation and prescription inference</w:t>
            </w:r>
          </w:p>
        </w:tc>
        <w:tc>
          <w:tcPr>
            <w:tcW w:type="dxa" w:w="893"/>
            <w:vAlign w:val="center"/>
          </w:tcPr>
          <w:p>
            <w:pPr>
              <w:spacing w:before="20" w:after="20"/>
              <w:jc w:val="left"/>
            </w:pPr>
            <w:r>
              <w:rPr>
                <w:sz w:val="13"/>
              </w:rPr>
            </w:r>
            <w:r>
              <w:rPr>
                <w:rFonts w:ascii="Times New Roman" w:hAnsi="Times New Roman"/>
                <w:b w:val="0"/>
                <w:i w:val="0"/>
                <w:sz w:val="13"/>
              </w:rPr>
              <w:t>[3], [7], [8], [9]</w:t>
            </w:r>
          </w:p>
        </w:tc>
        <w:tc>
          <w:tcPr>
            <w:tcW w:type="dxa" w:w="2189"/>
            <w:vAlign w:val="center"/>
          </w:tcPr>
          <w:p>
            <w:pPr>
              <w:spacing w:before="20" w:after="20"/>
              <w:jc w:val="left"/>
            </w:pPr>
            <w:r>
              <w:rPr>
                <w:sz w:val="13"/>
              </w:rPr>
            </w:r>
            <w:r>
              <w:rPr>
                <w:rFonts w:ascii="Times New Roman" w:hAnsi="Times New Roman"/>
                <w:b w:val="0"/>
                <w:i w:val="0"/>
                <w:sz w:val="13"/>
              </w:rPr>
              <w:t>Provides context for therapeutic and historical prescription modeling.</w:t>
            </w:r>
          </w:p>
        </w:tc>
      </w:tr>
      <w:tr>
        <w:tc>
          <w:tcPr>
            <w:tcW w:type="dxa" w:w="1238"/>
            <w:shd w:fill="EAF2F8"/>
            <w:vAlign w:val="center"/>
          </w:tcPr>
          <w:p>
            <w:pPr>
              <w:spacing w:before="20" w:after="20"/>
              <w:jc w:val="left"/>
            </w:pPr>
            <w:r>
              <w:rPr>
                <w:sz w:val="13"/>
              </w:rPr>
            </w:r>
            <w:r>
              <w:rPr>
                <w:rFonts w:ascii="Times New Roman" w:hAnsi="Times New Roman"/>
                <w:b w:val="0"/>
                <w:i w:val="0"/>
                <w:sz w:val="13"/>
              </w:rPr>
              <w:t>Uncertainty, explainability, and clinical knowledge integration</w:t>
            </w:r>
          </w:p>
        </w:tc>
        <w:tc>
          <w:tcPr>
            <w:tcW w:type="dxa" w:w="893"/>
            <w:shd w:fill="EAF2F8"/>
            <w:vAlign w:val="center"/>
          </w:tcPr>
          <w:p>
            <w:pPr>
              <w:spacing w:before="20" w:after="20"/>
              <w:jc w:val="left"/>
            </w:pPr>
            <w:r>
              <w:rPr>
                <w:sz w:val="13"/>
              </w:rPr>
            </w:r>
            <w:r>
              <w:rPr>
                <w:rFonts w:ascii="Times New Roman" w:hAnsi="Times New Roman"/>
                <w:b w:val="0"/>
                <w:i w:val="0"/>
                <w:sz w:val="13"/>
              </w:rPr>
              <w:t>[4], [6], [10]</w:t>
            </w:r>
          </w:p>
        </w:tc>
        <w:tc>
          <w:tcPr>
            <w:tcW w:type="dxa" w:w="2189"/>
            <w:shd w:fill="EAF2F8"/>
            <w:vAlign w:val="center"/>
          </w:tcPr>
          <w:p>
            <w:pPr>
              <w:spacing w:before="20" w:after="20"/>
              <w:jc w:val="left"/>
            </w:pPr>
            <w:r>
              <w:rPr>
                <w:sz w:val="13"/>
              </w:rPr>
            </w:r>
            <w:r>
              <w:rPr>
                <w:rFonts w:ascii="Times New Roman" w:hAnsi="Times New Roman"/>
                <w:b w:val="0"/>
                <w:i w:val="0"/>
                <w:sz w:val="13"/>
              </w:rPr>
              <w:t>Provides context for reliability communication and context-aware decision support.</w:t>
            </w:r>
          </w:p>
        </w:tc>
      </w:tr>
      <w:tr>
        <w:tc>
          <w:tcPr>
            <w:tcW w:type="dxa" w:w="1238"/>
            <w:vAlign w:val="center"/>
          </w:tcPr>
          <w:p>
            <w:pPr>
              <w:spacing w:before="20" w:after="20"/>
              <w:jc w:val="left"/>
            </w:pPr>
            <w:r>
              <w:rPr>
                <w:sz w:val="13"/>
              </w:rPr>
            </w:r>
            <w:r>
              <w:rPr>
                <w:rFonts w:ascii="Times New Roman" w:hAnsi="Times New Roman"/>
                <w:b w:val="0"/>
                <w:i w:val="0"/>
                <w:sz w:val="13"/>
              </w:rPr>
              <w:t>VitaNexus-RX</w:t>
            </w:r>
          </w:p>
        </w:tc>
        <w:tc>
          <w:tcPr>
            <w:tcW w:type="dxa" w:w="893"/>
            <w:vAlign w:val="center"/>
          </w:tcPr>
          <w:p>
            <w:pPr>
              <w:spacing w:before="20" w:after="20"/>
              <w:jc w:val="left"/>
            </w:pPr>
            <w:r>
              <w:rPr>
                <w:sz w:val="13"/>
              </w:rPr>
            </w:r>
            <w:r>
              <w:rPr>
                <w:rFonts w:ascii="Times New Roman" w:hAnsi="Times New Roman"/>
                <w:b w:val="0"/>
                <w:i w:val="0"/>
                <w:sz w:val="13"/>
              </w:rPr>
              <w:t>Implemented system</w:t>
            </w:r>
          </w:p>
        </w:tc>
        <w:tc>
          <w:tcPr>
            <w:tcW w:type="dxa" w:w="2189"/>
            <w:vAlign w:val="center"/>
          </w:tcPr>
          <w:p>
            <w:pPr>
              <w:spacing w:before="20" w:after="20"/>
              <w:jc w:val="left"/>
            </w:pPr>
            <w:r>
              <w:rPr>
                <w:sz w:val="13"/>
              </w:rPr>
            </w:r>
            <w:r>
              <w:rPr>
                <w:rFonts w:ascii="Times New Roman" w:hAnsi="Times New Roman"/>
                <w:b w:val="0"/>
                <w:i w:val="0"/>
                <w:sz w:val="13"/>
              </w:rPr>
              <w:t>Integrates source safety evidence, FAERS reporting-task prediction, reliability outputs, and same-indication ranking.</w:t>
            </w:r>
          </w:p>
        </w:tc>
      </w:tr>
    </w:tbl>
    <w:p>
      <w:pPr>
        <w:spacing w:before="0" w:after="40" w:line="240" w:lineRule="auto"/>
        <w:ind w:firstLine="202"/>
        <w:jc w:val="both"/>
      </w:pPr>
      <w:r>
        <w:rPr>
          <w:rFonts w:ascii="Times New Roman" w:hAnsi="Times New Roman"/>
          <w:b w:val="0"/>
          <w:i w:val="0"/>
          <w:sz w:val="18"/>
        </w:rPr>
        <w:t>The operational input contract contains patient age and sex, the current medication list, a candidate drug, and a mandatory searchable indication selected from DrugCentral. The selected indication carries its identifier, normalized display text, source, and dataset-version context. The candidate-drug and active-medication terms are normalized before model feature construction and before source-specific identifier resolution. This contract makes the indication an explicit retrieval key for alternative generation rather than a free-text annotation added after ranking.</w:t>
      </w:r>
    </w:p>
    <w:p>
      <w:pPr>
        <w:spacing w:before="0" w:after="40" w:line="240" w:lineRule="auto"/>
        <w:ind w:firstLine="202"/>
        <w:jc w:val="both"/>
      </w:pPr>
      <w:r>
        <w:rPr>
          <w:rFonts w:ascii="Times New Roman" w:hAnsi="Times New Roman"/>
          <w:b w:val="0"/>
          <w:i w:val="0"/>
          <w:sz w:val="18"/>
        </w:rPr>
        <w:t>The system separates automated inputs from clinician-display information. Allergy information and disease duration may be displayed in the consultation context, but the implemented architecture does not use allergy severity or disease duration as LightGBM inputs or recommendation-ranking factors. Drug-allergy analysis is not presented as an automated source-based clinical-safety component. This restriction prevents the interface from implying an analysis that the runtime does not perform.</w:t>
      </w:r>
    </w:p>
    <w:p>
      <w:pPr>
        <w:spacing w:before="0" w:after="40" w:line="240" w:lineRule="auto"/>
        <w:ind w:firstLine="202"/>
        <w:jc w:val="both"/>
      </w:pPr>
      <w:r>
        <w:rPr>
          <w:rFonts w:ascii="Times New Roman" w:hAnsi="Times New Roman"/>
          <w:b w:val="0"/>
          <w:i w:val="0"/>
          <w:sz w:val="18"/>
        </w:rPr>
        <w:t>A persisted consultation snapshot preserves the active medicines, conditions, allergies, selected indication, candidate, evidence results, adverse-risk output, and downstream decisions. The snapshot supports navigation across Clinical Safety, Adverse-Risk Prediction, event profile, recommendation, and follow-up stages without silently recomputing an earlier result against a changed input state. The user interface is consequently organized as an evidence workflow rather than as a single score display.</w:t>
      </w:r>
    </w:p>
    <w:p>
      <w:pPr>
        <w:spacing w:before="0" w:after="40" w:line="240" w:lineRule="auto"/>
        <w:ind w:firstLine="202"/>
        <w:jc w:val="both"/>
      </w:pPr>
      <w:r>
        <w:rPr>
          <w:rFonts w:ascii="Times New Roman" w:hAnsi="Times New Roman"/>
          <w:b w:val="0"/>
          <w:i w:val="0"/>
          <w:sz w:val="18"/>
        </w:rPr>
        <w:t>The problem formulation is constrained by evidence availability. For a candidate alternative, the system must answer three separate questions: whether the available knowledge sources can evaluate the candidate against active medicines and conditions; what the frozen FAERS reporting-task model returns for the runtime features; and how eligible alternatives should be ordered under the declared engineering policy. A favorable model value never converts an unresolved source lookup into a low-risk finding, and a valid empty interaction result is not treated as an error.</w:t>
      </w:r>
    </w:p>
    <w:p>
      <w:pPr>
        <w:pStyle w:val="Heading1"/>
        <w:keepNext/>
        <w:spacing w:before="120" w:after="40"/>
        <w:ind w:firstLine="0"/>
        <w:jc w:val="left"/>
      </w:pPr>
      <w:r>
        <w:rPr>
          <w:rFonts w:ascii="Times New Roman" w:hAnsi="Times New Roman"/>
          <w:b/>
          <w:i w:val="0"/>
          <w:color w:val="00529B"/>
          <w:sz w:val="18"/>
        </w:rPr>
        <w:t>IV. SYSTEM ARCHITECTURE AND EXECUTION FLOW</w:t>
      </w:r>
    </w:p>
    <w:p>
      <w:pPr>
        <w:spacing w:after="40" w:line="240" w:lineRule="auto"/>
        <w:ind w:firstLine="202"/>
        <w:jc w:val="both"/>
      </w:pPr>
      <w:r>
        <w:rPr>
          <w:rFonts w:ascii="Times New Roman" w:hAnsi="Times New Roman"/>
          <w:b w:val="0"/>
          <w:i w:val="0"/>
          <w:color w:val="000000"/>
          <w:sz w:val="18"/>
        </w:rPr>
        <w:t>The runtime consists of a React/Vite interface, an Express API under /api/v1, PostgreSQL persistence through Prisma adapter-pg, DDInter and DrugCentral knowledge access, and an internal FastAPI service for machine-learning inference. The Python service loads protected artifacts once at startup. Express validates the inference response, propagates request identifiers, applies a bounded timeout, and persists result JSON. A missing or invalid machine-learning result is not converted into a low-risk result.</w:t>
      </w:r>
    </w:p>
    <w:tbl>
      <w:tblPr>
        <w:tblW w:type="auto" w:w="0"/>
        <w:jc w:val="center"/>
        <w:tblLayout w:type="fixed"/>
        <w:tblLook w:firstColumn="1" w:firstRow="1" w:lastColumn="0" w:lastRow="0" w:noHBand="0" w:noVBand="1" w:val="04A0"/>
      </w:tblPr>
      <w:tblGrid>
        <w:gridCol w:w="10166"/>
      </w:tblGrid>
      <w:tr>
        <w:trPr>
          <w:cantSplit/>
        </w:trPr>
        <w:tc>
          <w:tcPr>
            <w:tcW w:type="dxa" w:w="4392"/>
            <w:shd w:fill="00529B"/>
            <w:tcMar>
              <w:top w:w="110" w:type="dxa"/>
              <w:start w:w="100" w:type="dxa"/>
              <w:bottom w:w="110" w:type="dxa"/>
              <w:end w:w="100" w:type="dxa"/>
            </w:tcMar>
            <w:tcBorders>
              <w:top w:val="single" w:sz="6" w:color="AFC5D9"/>
              <w:left w:val="single" w:sz="6" w:color="AFC5D9"/>
              <w:bottom w:val="single" w:sz="6" w:color="AFC5D9"/>
              <w:right w:val="single" w:sz="6" w:color="AFC5D9"/>
              <w:insideH w:val="single" w:sz="6" w:color="AFC5D9"/>
              <w:insideV w:val="single" w:sz="6" w:color="AFC5D9"/>
            </w:tcBorders>
            <w:vAlign w:val="center"/>
          </w:tcPr>
          <w:p>
            <w:pPr>
              <w:spacing w:after="0" w:line="228" w:lineRule="auto"/>
              <w:ind w:firstLine="0"/>
              <w:jc w:val="left"/>
            </w:pPr>
            <w:r>
              <w:rPr>
                <w:rFonts w:ascii="Times New Roman" w:hAnsi="Times New Roman"/>
                <w:b/>
                <w:i w:val="0"/>
                <w:color w:val="FFFFFF"/>
                <w:sz w:val="15"/>
              </w:rPr>
              <w:t>Patient context and indication provenance</w:t>
            </w:r>
          </w:p>
        </w:tc>
      </w:tr>
      <w:tr>
        <w:trPr>
          <w:cantSplit/>
        </w:trPr>
        <w:tc>
          <w:tcPr>
            <w:tcW w:type="dxa" w:w="4392"/>
            <w:shd w:fill="EEF3F8"/>
            <w:tcMar>
              <w:top w:w="110" w:type="dxa"/>
              <w:start w:w="100" w:type="dxa"/>
              <w:bottom w:w="110" w:type="dxa"/>
              <w:end w:w="100" w:type="dxa"/>
            </w:tcMar>
            <w:tcBorders>
              <w:top w:val="single" w:sz="6" w:color="AFC5D9"/>
              <w:left w:val="single" w:sz="6" w:color="AFC5D9"/>
              <w:bottom w:val="single" w:sz="6" w:color="AFC5D9"/>
              <w:right w:val="single" w:sz="6" w:color="AFC5D9"/>
              <w:insideH w:val="single" w:sz="6" w:color="AFC5D9"/>
              <w:insideV w:val="single" w:sz="6" w:color="AFC5D9"/>
            </w:tcBorders>
            <w:vAlign w:val="center"/>
          </w:tcPr>
          <w:p>
            <w:pPr>
              <w:spacing w:after="0" w:line="228" w:lineRule="auto"/>
              <w:ind w:firstLine="0"/>
              <w:jc w:val="left"/>
            </w:pPr>
            <w:r>
              <w:rPr>
                <w:rFonts w:ascii="Times New Roman" w:hAnsi="Times New Roman"/>
                <w:b w:val="0"/>
                <w:i w:val="0"/>
                <w:color w:val="000000"/>
                <w:sz w:val="15"/>
              </w:rPr>
              <w:t>↓</w:t>
            </w:r>
            <w:r>
              <w:rPr>
                <w:rFonts w:ascii="Times New Roman" w:hAnsi="Times New Roman"/>
                <w:b w:val="0"/>
                <w:i w:val="0"/>
                <w:color w:val="000000"/>
                <w:sz w:val="15"/>
              </w:rPr>
              <w:t>DDI and Drug-Disease evidence evaluation</w:t>
            </w:r>
          </w:p>
        </w:tc>
      </w:tr>
      <w:tr>
        <w:trPr>
          <w:cantSplit/>
        </w:trPr>
        <w:tc>
          <w:tcPr>
            <w:tcW w:type="dxa" w:w="4392"/>
            <w:shd w:fill="F2F5F8"/>
            <w:tcMar>
              <w:top w:w="110" w:type="dxa"/>
              <w:start w:w="100" w:type="dxa"/>
              <w:bottom w:w="110" w:type="dxa"/>
              <w:end w:w="100" w:type="dxa"/>
            </w:tcMar>
            <w:tcBorders>
              <w:top w:val="single" w:sz="6" w:color="AFC5D9"/>
              <w:left w:val="single" w:sz="6" w:color="AFC5D9"/>
              <w:bottom w:val="single" w:sz="6" w:color="AFC5D9"/>
              <w:right w:val="single" w:sz="6" w:color="AFC5D9"/>
              <w:insideH w:val="single" w:sz="6" w:color="AFC5D9"/>
              <w:insideV w:val="single" w:sz="6" w:color="AFC5D9"/>
            </w:tcBorders>
            <w:vAlign w:val="center"/>
          </w:tcPr>
          <w:p>
            <w:pPr>
              <w:spacing w:after="0" w:line="228" w:lineRule="auto"/>
              <w:ind w:firstLine="0"/>
              <w:jc w:val="left"/>
            </w:pPr>
            <w:r>
              <w:rPr>
                <w:rFonts w:ascii="Times New Roman" w:hAnsi="Times New Roman"/>
                <w:b w:val="0"/>
                <w:i w:val="0"/>
                <w:color w:val="000000"/>
                <w:sz w:val="15"/>
              </w:rPr>
              <w:t>↓</w:t>
            </w:r>
            <w:r>
              <w:rPr>
                <w:rFonts w:ascii="Times New Roman" w:hAnsi="Times New Roman"/>
                <w:b w:val="0"/>
                <w:i w:val="0"/>
                <w:color w:val="000000"/>
                <w:sz w:val="15"/>
              </w:rPr>
              <w:t>Adverse-Risk Prediction and Conformal Prediction</w:t>
            </w:r>
          </w:p>
        </w:tc>
      </w:tr>
      <w:tr>
        <w:trPr>
          <w:cantSplit/>
        </w:trPr>
        <w:tc>
          <w:tcPr>
            <w:tcW w:type="dxa" w:w="4392"/>
            <w:shd w:fill="EEF3F8"/>
            <w:tcMar>
              <w:top w:w="110" w:type="dxa"/>
              <w:start w:w="100" w:type="dxa"/>
              <w:bottom w:w="110" w:type="dxa"/>
              <w:end w:w="100" w:type="dxa"/>
            </w:tcMar>
            <w:tcBorders>
              <w:top w:val="single" w:sz="6" w:color="AFC5D9"/>
              <w:left w:val="single" w:sz="6" w:color="AFC5D9"/>
              <w:bottom w:val="single" w:sz="6" w:color="AFC5D9"/>
              <w:right w:val="single" w:sz="6" w:color="AFC5D9"/>
              <w:insideH w:val="single" w:sz="6" w:color="AFC5D9"/>
              <w:insideV w:val="single" w:sz="6" w:color="AFC5D9"/>
            </w:tcBorders>
            <w:vAlign w:val="center"/>
          </w:tcPr>
          <w:p>
            <w:pPr>
              <w:spacing w:after="0" w:line="228" w:lineRule="auto"/>
              <w:ind w:firstLine="0"/>
              <w:jc w:val="left"/>
            </w:pPr>
            <w:r>
              <w:rPr>
                <w:rFonts w:ascii="Times New Roman" w:hAnsi="Times New Roman"/>
                <w:b w:val="0"/>
                <w:i w:val="0"/>
                <w:color w:val="000000"/>
                <w:sz w:val="15"/>
              </w:rPr>
              <w:t>↓</w:t>
            </w:r>
            <w:r>
              <w:rPr>
                <w:rFonts w:ascii="Times New Roman" w:hAnsi="Times New Roman"/>
                <w:b w:val="0"/>
                <w:i w:val="0"/>
                <w:color w:val="000000"/>
                <w:sz w:val="15"/>
              </w:rPr>
              <w:t>Clinical-risk synthesis and same-indication alternatives</w:t>
            </w:r>
          </w:p>
        </w:tc>
      </w:tr>
      <w:tr>
        <w:trPr>
          <w:cantSplit/>
        </w:trPr>
        <w:tc>
          <w:tcPr>
            <w:tcW w:type="dxa" w:w="4392"/>
            <w:shd w:fill="F2F5F8"/>
            <w:tcMar>
              <w:top w:w="110" w:type="dxa"/>
              <w:start w:w="100" w:type="dxa"/>
              <w:bottom w:w="110" w:type="dxa"/>
              <w:end w:w="100" w:type="dxa"/>
            </w:tcMar>
            <w:tcBorders>
              <w:top w:val="single" w:sz="6" w:color="AFC5D9"/>
              <w:left w:val="single" w:sz="6" w:color="AFC5D9"/>
              <w:bottom w:val="single" w:sz="6" w:color="AFC5D9"/>
              <w:right w:val="single" w:sz="6" w:color="AFC5D9"/>
              <w:insideH w:val="single" w:sz="6" w:color="AFC5D9"/>
              <w:insideV w:val="single" w:sz="6" w:color="AFC5D9"/>
            </w:tcBorders>
            <w:vAlign w:val="center"/>
          </w:tcPr>
          <w:p>
            <w:pPr>
              <w:spacing w:after="0" w:line="228" w:lineRule="auto"/>
              <w:ind w:firstLine="0"/>
              <w:jc w:val="left"/>
            </w:pPr>
            <w:r>
              <w:rPr>
                <w:rFonts w:ascii="Times New Roman" w:hAnsi="Times New Roman"/>
                <w:b w:val="0"/>
                <w:i w:val="0"/>
                <w:color w:val="000000"/>
                <w:sz w:val="15"/>
              </w:rPr>
              <w:t>↓</w:t>
            </w:r>
            <w:r>
              <w:rPr>
                <w:rFonts w:ascii="Times New Roman" w:hAnsi="Times New Roman"/>
                <w:b w:val="0"/>
                <w:i w:val="0"/>
                <w:color w:val="000000"/>
                <w:sz w:val="15"/>
              </w:rPr>
              <w:t>Reliability-aware ranking and Indian brand mapping</w:t>
            </w:r>
          </w:p>
        </w:tc>
      </w:tr>
      <w:tr>
        <w:trPr>
          <w:cantSplit/>
        </w:trPr>
        <w:tc>
          <w:tcPr>
            <w:tcW w:type="dxa" w:w="4392"/>
            <w:shd w:fill="EEF3F8"/>
            <w:tcMar>
              <w:top w:w="110" w:type="dxa"/>
              <w:start w:w="100" w:type="dxa"/>
              <w:bottom w:w="110" w:type="dxa"/>
              <w:end w:w="100" w:type="dxa"/>
            </w:tcMar>
            <w:tcBorders>
              <w:top w:val="single" w:sz="6" w:color="AFC5D9"/>
              <w:left w:val="single" w:sz="6" w:color="AFC5D9"/>
              <w:bottom w:val="single" w:sz="6" w:color="AFC5D9"/>
              <w:right w:val="single" w:sz="6" w:color="AFC5D9"/>
              <w:insideH w:val="single" w:sz="6" w:color="AFC5D9"/>
              <w:insideV w:val="single" w:sz="6" w:color="AFC5D9"/>
            </w:tcBorders>
            <w:vAlign w:val="center"/>
          </w:tcPr>
          <w:p>
            <w:pPr>
              <w:spacing w:after="0" w:line="228" w:lineRule="auto"/>
              <w:ind w:firstLine="0"/>
              <w:jc w:val="left"/>
            </w:pPr>
            <w:r>
              <w:rPr>
                <w:rFonts w:ascii="Times New Roman" w:hAnsi="Times New Roman"/>
                <w:b w:val="0"/>
                <w:i w:val="0"/>
                <w:color w:val="000000"/>
                <w:sz w:val="15"/>
              </w:rPr>
              <w:t>↓</w:t>
            </w:r>
            <w:r>
              <w:rPr>
                <w:rFonts w:ascii="Times New Roman" w:hAnsi="Times New Roman"/>
                <w:b w:val="0"/>
                <w:i w:val="0"/>
                <w:color w:val="000000"/>
                <w:sz w:val="15"/>
              </w:rPr>
              <w:t>Explainable clinician-facing decision support</w:t>
            </w:r>
          </w:p>
        </w:tc>
      </w:tr>
    </w:tbl>
    <w:p>
      <w:pPr>
        <w:spacing w:before="40" w:after="80"/>
        <w:ind w:firstLine="0"/>
        <w:jc w:val="center"/>
      </w:pPr>
      <w:r>
        <w:rPr>
          <w:rFonts w:ascii="Times New Roman" w:hAnsi="Times New Roman"/>
          <w:b w:val="0"/>
          <w:i/>
          <w:color w:val="000000"/>
          <w:sz w:val="15"/>
        </w:rPr>
        <w:t>Fig. 1. Implemented VitaNexus-RX evidence and recommendation workflow.</w:t>
      </w:r>
    </w:p>
    <w:p>
      <w:pPr>
        <w:spacing w:after="40" w:line="240" w:lineRule="auto"/>
        <w:ind w:firstLine="202"/>
        <w:jc w:val="both"/>
      </w:pPr>
      <w:r>
        <w:rPr>
          <w:rFonts w:ascii="Times New Roman" w:hAnsi="Times New Roman"/>
          <w:b w:val="0"/>
          <w:i w:val="0"/>
          <w:color w:val="000000"/>
          <w:sz w:val="18"/>
        </w:rPr>
        <w:t>Clinical safety, Adverse-Risk Prediction, the supplementary event profile, recommendations, and follow-up are exposed as distinct workflow stages. Persisted ADR results contain the result JSON, model version, deterministic input hash, and timestamp. Recommendation snapshots include known evidence, candidate results, feature coverage, and model versions so a model or evidence change produces a new reproducible snapshot.</w:t>
      </w:r>
    </w:p>
    <w:p>
      <w:pPr>
        <w:spacing w:before="0" w:after="40" w:line="240" w:lineRule="auto"/>
        <w:ind w:firstLine="202"/>
        <w:jc w:val="both"/>
      </w:pPr>
      <w:r>
        <w:rPr>
          <w:rFonts w:ascii="Times New Roman" w:hAnsi="Times New Roman"/>
          <w:b w:val="0"/>
          <w:i w:val="0"/>
          <w:sz w:val="18"/>
        </w:rPr>
        <w:t>The implementation uses a React/Vite client, an Express application programming interface (API) under /api/v1, PostgreSQL persistence through Prisma adapter-pg, external DDInter and DrugCentral knowledge sources, and an internal FastAPI machine-learning service. This partition gives the API layer responsibility for request validation, terminology resolution, external-source status handling, persisted decisions, and downstream orchestration, while the ML service is responsible for artifact-backed model inference.</w:t>
      </w:r>
    </w:p>
    <w:p>
      <w:pPr>
        <w:spacing w:before="0" w:after="40" w:line="240" w:lineRule="auto"/>
        <w:ind w:firstLine="202"/>
        <w:jc w:val="both"/>
      </w:pPr>
      <w:r>
        <w:rPr>
          <w:rFonts w:ascii="Times New Roman" w:hAnsi="Times New Roman"/>
          <w:b w:val="0"/>
          <w:i w:val="0"/>
          <w:sz w:val="18"/>
        </w:rPr>
        <w:t>At consultation time, the client creates or loads a patient visit and submits clinical context. The Clinical Safety stage requests DDI and Drug-Disease Interaction evidence. The API normalizes terms, attempts source-specific resolution, records both the evidence and lookup status, and synthesizes an overall clinical-safety outcome. The ADR stage invokes the ML service only after the API validates its input contract. The recommendation stage queries same-indication alternatives, applies the safety gate to each candidate, obtains an adverse-risk output for eligible candidates, and persists a transparent ranking record.</w:t>
      </w:r>
    </w:p>
    <w:p>
      <w:pPr>
        <w:spacing w:before="0" w:after="40" w:line="240" w:lineRule="auto"/>
        <w:ind w:firstLine="202"/>
        <w:jc w:val="both"/>
      </w:pPr>
      <w:r>
        <w:rPr>
          <w:rFonts w:ascii="Times New Roman" w:hAnsi="Times New Roman"/>
          <w:b w:val="0"/>
          <w:i w:val="0"/>
          <w:sz w:val="18"/>
        </w:rPr>
        <w:t>The ML-service contract is deliberately defensive. The artifact loader rejects smoke-mode or partial LightGBM artifacts and requires exactly 20 contiguous bootstrap replicas. The API propagates service failures, validation failures, and feature-coverage failures as explicit states; it does not fabricate a low-risk result when the model or an input is unavailable. This distinction is visible in the application as unavailable, out-of-vocabulary, degraded-coverage, or review-required evidence messages, depending on the stage that could not be completed.</w:t>
      </w:r>
    </w:p>
    <w:p>
      <w:pPr>
        <w:spacing w:before="0" w:after="40" w:line="240" w:lineRule="auto"/>
        <w:ind w:firstLine="202"/>
        <w:jc w:val="both"/>
      </w:pPr>
      <w:r>
        <w:rPr>
          <w:rFonts w:ascii="Times New Roman" w:hAnsi="Times New Roman"/>
          <w:b w:val="0"/>
          <w:i w:val="0"/>
          <w:sz w:val="18"/>
        </w:rPr>
        <w:t>Figure 1 summarises the runtime flow. The order of operations is clinically important: DDInter and DrugCentral evidence are evaluated before a candidate can be eligible for ranking. The model output contributes only to ranking among candidates that remain eligible under source evidence. The supplementary HGNN event profile is a separate route and is not a ranking input.</w:t>
      </w:r>
    </w:p>
    <w:p>
      <w:pPr>
        <w:pStyle w:val="Heading1"/>
        <w:keepNext/>
        <w:spacing w:before="120" w:after="40"/>
        <w:ind w:firstLine="0"/>
        <w:jc w:val="left"/>
      </w:pPr>
      <w:r>
        <w:rPr>
          <w:rFonts w:ascii="Times New Roman" w:hAnsi="Times New Roman"/>
          <w:b/>
          <w:i w:val="0"/>
          <w:color w:val="00529B"/>
          <w:sz w:val="18"/>
        </w:rPr>
        <w:t>V. SOURCE BASED CLINICAL SAFETY ANALYSIS</w:t>
      </w:r>
    </w:p>
    <w:p>
      <w:pPr>
        <w:pStyle w:val="Heading2"/>
        <w:keepNext/>
        <w:spacing w:before="140" w:after="40"/>
        <w:ind w:firstLine="0"/>
        <w:jc w:val="left"/>
      </w:pPr>
      <w:r>
        <w:rPr>
          <w:rFonts w:ascii="Times New Roman" w:hAnsi="Times New Roman"/>
          <w:b/>
          <w:i w:val="0"/>
          <w:color w:val="00529B"/>
          <w:sz w:val="18"/>
        </w:rPr>
        <w:t>A. Drug Drug Interaction Analysis</w:t>
      </w:r>
    </w:p>
    <w:p>
      <w:pPr>
        <w:spacing w:after="40" w:line="240" w:lineRule="auto"/>
        <w:ind w:firstLine="202"/>
        <w:jc w:val="both"/>
      </w:pPr>
      <w:r>
        <w:rPr>
          <w:rFonts w:ascii="Times New Roman" w:hAnsi="Times New Roman"/>
          <w:b w:val="0"/>
          <w:i w:val="0"/>
          <w:color w:val="000000"/>
          <w:sz w:val="18"/>
        </w:rPr>
        <w:t>DDInter evaluation is tri-state. When both drugs are unambiguously resolved and DDInter contains a documented interaction, VitaNexus-RX uses the documented severity: MAJOR, MODERATE, or MINOR. When both drugs are resolved and a lookup completes without an interaction record, the result is NO DOCUMENTED INTERACTION. This is completed evidence, not a clinical-review state. When either identifier cannot be resolved, an identifier is ambiguous, required data are unavailable, or the lookup fails, the result is REQUIRES CLINICAL REVIEW. This state represents incomplete evidence and never means moderate risk.</w:t>
      </w:r>
    </w:p>
    <w:p>
      <w:pPr>
        <w:spacing w:before="0" w:after="40" w:line="240" w:lineRule="auto"/>
        <w:ind w:firstLine="202"/>
        <w:jc w:val="both"/>
      </w:pPr>
      <w:r>
        <w:rPr>
          <w:rFonts w:ascii="Times New Roman" w:hAnsi="Times New Roman"/>
          <w:b w:val="0"/>
          <w:i w:val="0"/>
          <w:sz w:val="18"/>
        </w:rPr>
        <w:t>For each candidate-current-medication pair, DDInter processing has three semantically distinct outcomes. In the first, both drugs resolve unambiguously and a DDInter record is present; the documented MAJOR, MODERATE, or MINOR severity is preserved. In the second, both drugs resolve and the lookup completes but no interaction record exists; the result is NO DOCUMENTED INTERACTION. This is a valid source result, not a claim that the pair is risk-free and not a clinical-review condition. In the third, a candidate or active medicine cannot be resolved, an identifier is ambiguous, required data are unavailable, normalisation or alias handling fails, or the lookup itself fails; the result is REQUIRES CLINICAL REVIEW.</w:t>
      </w:r>
    </w:p>
    <w:p>
      <w:pPr>
        <w:spacing w:before="0" w:after="40" w:line="240" w:lineRule="auto"/>
        <w:ind w:firstLine="202"/>
        <w:jc w:val="both"/>
      </w:pPr>
      <w:r>
        <w:rPr>
          <w:rFonts w:ascii="Times New Roman" w:hAnsi="Times New Roman"/>
          <w:b w:val="0"/>
          <w:i w:val="0"/>
          <w:sz w:val="18"/>
        </w:rPr>
        <w:t>The distinction prevents two opposite implementation errors. Treating every empty DDInter result as a failure would block candidates merely because the source has no record. Conversely, treating a failed or unresolved lookup as an empty result would incorrectly present missing evidence as reassuring. The eligibility gate therefore allows a candidate with a resolved, completed, empty DDInter result to continue, whereas a genuine unresolved or failed lookup keeps the candidate in the review-required state.</w:t>
      </w:r>
    </w:p>
    <w:p>
      <w:pPr>
        <w:spacing w:before="0" w:after="40" w:line="240" w:lineRule="auto"/>
        <w:ind w:firstLine="202"/>
        <w:jc w:val="both"/>
      </w:pPr>
      <w:r>
        <w:rPr>
          <w:rFonts w:ascii="Times New Roman" w:hAnsi="Times New Roman"/>
          <w:b w:val="0"/>
          <w:i w:val="0"/>
          <w:sz w:val="18"/>
        </w:rPr>
        <w:t>DDI evidence is assessed over the candidate against the active medication list. An overall candidate DDI view consequently reflects the most restrictive documented source result or an incomplete-evidence state, rather than a selectively chosen favorable pair. The user interface should show source provenance and a human-readable reason so that a clinician can distinguish a documented interaction from a lookup limitation.</w:t>
      </w:r>
    </w:p>
    <w:p>
      <w:pPr>
        <w:pStyle w:val="Heading2"/>
        <w:keepNext/>
        <w:spacing w:before="140" w:after="40"/>
        <w:ind w:firstLine="0"/>
        <w:jc w:val="left"/>
      </w:pPr>
      <w:r>
        <w:rPr>
          <w:rFonts w:ascii="Times New Roman" w:hAnsi="Times New Roman"/>
          <w:b/>
          <w:i w:val="0"/>
          <w:color w:val="00529B"/>
          <w:sz w:val="18"/>
        </w:rPr>
        <w:t>B. Drug Disease Interaction Analysis</w:t>
      </w:r>
    </w:p>
    <w:p>
      <w:pPr>
        <w:spacing w:after="40" w:line="240" w:lineRule="auto"/>
        <w:ind w:firstLine="202"/>
        <w:jc w:val="both"/>
      </w:pPr>
      <w:r>
        <w:rPr>
          <w:rFonts w:ascii="Times New Roman" w:hAnsi="Times New Roman"/>
          <w:b w:val="0"/>
          <w:i w:val="0"/>
          <w:color w:val="000000"/>
          <w:sz w:val="18"/>
        </w:rPr>
        <w:t>DrugCentral evaluation similarly distinguishes a documented relationship, no documented relationship after successful evaluation of all resolvable conditions, and incomplete evidence. A broad entered condition may fail unique resolution because multiple clinical identities can match the same phrase. In that case, the candidate is marked REQUIRES CLINICAL REVIEW rather than being assigned a favorable no-relationship result. This is a term-resolution limitation, not evidence that the candidate is harmful.</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1368"/>
            <w:shd w:fill="00529B"/>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i w:val="0"/>
                <w:color w:val="FFFFFF"/>
                <w:sz w:val="13"/>
              </w:rPr>
              <w:t>Source result</w:t>
            </w:r>
          </w:p>
        </w:tc>
        <w:tc>
          <w:tcPr>
            <w:tcW w:type="dxa" w:w="1224"/>
            <w:shd w:fill="00529B"/>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i w:val="0"/>
                <w:color w:val="FFFFFF"/>
                <w:sz w:val="13"/>
              </w:rPr>
              <w:t>Operational meaning</w:t>
            </w:r>
          </w:p>
        </w:tc>
        <w:tc>
          <w:tcPr>
            <w:tcW w:type="dxa" w:w="2016"/>
            <w:shd w:fill="00529B"/>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i w:val="0"/>
                <w:color w:val="FFFFFF"/>
                <w:sz w:val="13"/>
              </w:rPr>
              <w:t>Eligibility effect</w:t>
            </w:r>
          </w:p>
        </w:tc>
      </w:tr>
      <w:tr>
        <w:trPr>
          <w:cantSplit/>
        </w:trPr>
        <w:tc>
          <w:tcPr>
            <w:tcW w:type="dxa" w:w="136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MAJOR / HIGH</w:t>
            </w:r>
          </w:p>
        </w:tc>
        <w:tc>
          <w:tcPr>
            <w:tcW w:type="dxa" w:w="1224"/>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Documented severe source evidence.</w:t>
            </w:r>
          </w:p>
        </w:tc>
        <w:tc>
          <w:tcPr>
            <w:tcW w:type="dxa" w:w="2016"/>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NOT RECOMMENDED before scoring.</w:t>
            </w:r>
          </w:p>
        </w:tc>
      </w:tr>
      <w:tr>
        <w:trPr>
          <w:cantSplit/>
        </w:trPr>
        <w:tc>
          <w:tcPr>
            <w:tcW w:type="dxa" w:w="1368"/>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MODERATE</w:t>
            </w:r>
          </w:p>
        </w:tc>
        <w:tc>
          <w:tcPr>
            <w:tcW w:type="dxa" w:w="1224"/>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Documented moderate source evidence.</w:t>
            </w:r>
          </w:p>
        </w:tc>
        <w:tc>
          <w:tcPr>
            <w:tcW w:type="dxa" w:w="2016"/>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Eligible if all other essential evidence is complete.</w:t>
            </w:r>
          </w:p>
        </w:tc>
      </w:tr>
      <w:tr>
        <w:trPr>
          <w:cantSplit/>
        </w:trPr>
        <w:tc>
          <w:tcPr>
            <w:tcW w:type="dxa" w:w="136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MINOR / LOW</w:t>
            </w:r>
          </w:p>
        </w:tc>
        <w:tc>
          <w:tcPr>
            <w:tcW w:type="dxa" w:w="1224"/>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Documented lower-tier source evidence.</w:t>
            </w:r>
          </w:p>
        </w:tc>
        <w:tc>
          <w:tcPr>
            <w:tcW w:type="dxa" w:w="2016"/>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Eligible if all other essential evidence is complete.</w:t>
            </w:r>
          </w:p>
        </w:tc>
      </w:tr>
      <w:tr>
        <w:trPr>
          <w:cantSplit/>
        </w:trPr>
        <w:tc>
          <w:tcPr>
            <w:tcW w:type="dxa" w:w="1368"/>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NO DOCUMENTED INTERACTION / RELATIONSHIP</w:t>
            </w:r>
          </w:p>
        </w:tc>
        <w:tc>
          <w:tcPr>
            <w:tcW w:type="dxa" w:w="1224"/>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Both required terms resolved and the completed source lookup had no record.</w:t>
            </w:r>
          </w:p>
        </w:tc>
        <w:tc>
          <w:tcPr>
            <w:tcW w:type="dxa" w:w="2016"/>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Eligible; not proof of safety.</w:t>
            </w:r>
          </w:p>
        </w:tc>
      </w:tr>
      <w:tr>
        <w:trPr>
          <w:cantSplit/>
        </w:trPr>
        <w:tc>
          <w:tcPr>
            <w:tcW w:type="dxa" w:w="136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REQUIRES CLINICAL REVIEW</w:t>
            </w:r>
          </w:p>
        </w:tc>
        <w:tc>
          <w:tcPr>
            <w:tcW w:type="dxa" w:w="1224"/>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Unresolved, ambiguous, unavailable, or failed essential lookup.</w:t>
            </w:r>
          </w:p>
        </w:tc>
        <w:tc>
          <w:tcPr>
            <w:tcW w:type="dxa" w:w="2016"/>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Not scored or ranked as safe.</w:t>
            </w:r>
          </w:p>
        </w:tc>
      </w:tr>
    </w:tbl>
    <w:p>
      <w:pPr>
        <w:spacing w:before="0" w:after="40" w:line="240" w:lineRule="auto"/>
        <w:ind w:firstLine="202"/>
        <w:jc w:val="both"/>
      </w:pPr>
      <w:r>
        <w:rPr>
          <w:rFonts w:ascii="Times New Roman" w:hAnsi="Times New Roman"/>
          <w:b w:val="0"/>
          <w:i w:val="0"/>
          <w:sz w:val="18"/>
        </w:rPr>
        <w:t>DrugCentral processing has the same evidence-completeness principle but concerns the candidate and recorded conditions. A documented relationship is retained as source evidence. If conditions are resolved and the completed source check finds no documented relationship, the system returns NO DOCUMENTED RELATIONSHIP. If a condition cannot be resolved or the lookup cannot complete, it returns REQUIRES CLINICAL REVIEW. The latter state means that the system lacks sufficient source coverage for an automated conclusion; it does not mean that the patient is known to have a moderate or high risk.</w:t>
      </w:r>
    </w:p>
    <w:p>
      <w:pPr>
        <w:spacing w:before="0" w:after="40" w:line="240" w:lineRule="auto"/>
        <w:ind w:firstLine="202"/>
        <w:jc w:val="both"/>
      </w:pPr>
      <w:r>
        <w:rPr>
          <w:rFonts w:ascii="Times New Roman" w:hAnsi="Times New Roman"/>
          <w:b w:val="0"/>
          <w:i w:val="0"/>
          <w:sz w:val="18"/>
        </w:rPr>
        <w:t>The overall clinical-safety synthesis applies an explicit ordering. A documented major DDI or high drug-disease restriction yields NOT RECOMMENDED. An unresolved or failed source check yields REQUIRES CLINICAL REVIEW. Otherwise the candidate can remain eligible, including when the completed source response is NO DOCUMENTED INTERACTION or NO DOCUMENTED RELATIONSHIP. This gate is intentionally independent of LightGBM and cannot be overridden by the learned score.</w:t>
      </w:r>
    </w:p>
    <w:p>
      <w:pPr>
        <w:keepNext/>
        <w:spacing w:before="60" w:after="40"/>
        <w:ind w:firstLine="0"/>
        <w:jc w:val="center"/>
      </w:pPr>
      <w:r>
        <w:rPr>
          <w:rFonts w:ascii="Times New Roman" w:hAnsi="Times New Roman"/>
          <w:b w:val="0"/>
          <w:i w:val="0"/>
          <w:sz w:val="16"/>
        </w:rPr>
        <w:t>TABLE III. Source evidence states used by the safety gate.</w:t>
      </w:r>
    </w:p>
    <w:p>
      <w:pPr>
        <w:pStyle w:val="Heading1"/>
        <w:keepNext/>
        <w:spacing w:before="120" w:after="40"/>
        <w:ind w:firstLine="0"/>
        <w:jc w:val="left"/>
      </w:pPr>
      <w:r>
        <w:rPr>
          <w:rFonts w:ascii="Times New Roman" w:hAnsi="Times New Roman"/>
          <w:b/>
          <w:i w:val="0"/>
          <w:color w:val="00529B"/>
          <w:sz w:val="18"/>
        </w:rPr>
        <w:t>VI. ADVERSE RISK PREDICTION AND RELIABILITY ANALYSIS</w:t>
      </w:r>
    </w:p>
    <w:p>
      <w:pPr>
        <w:spacing w:after="40" w:line="240" w:lineRule="auto"/>
        <w:ind w:firstLine="202"/>
        <w:jc w:val="both"/>
      </w:pPr>
      <w:r>
        <w:rPr>
          <w:rFonts w:ascii="Times New Roman" w:hAnsi="Times New Roman"/>
          <w:b w:val="0"/>
          <w:i w:val="0"/>
          <w:color w:val="000000"/>
          <w:sz w:val="18"/>
        </w:rPr>
        <w:t>The LightGBM component is calibrated with isotonic calibration. It returns a point estimate for the FAERS serious-outcome reporting task, a variation range over 20 configured bootstrap replicas, a conservative upper bootstrap bound used as adjusted ranking risk, and a split-conformal classification prediction set. The point probability, bootstrap range, and conformal set have separate meanings: the probability is the calibrated model output for the reporting target; the bootstrap range represents model variation under the configured resampling process; and the conformal output is a classification set rather than a confidence interval. Conformal prediction has been used in other application settings to express uncertainty and identify ambiguous cases [4], but the cited HER2 image study does not validate the VitaNexus-RX implementation or target.</w:t>
      </w:r>
    </w:p>
    <w:p>
      <w:pPr>
        <w:spacing w:after="40" w:line="240" w:lineRule="auto"/>
        <w:ind w:firstLine="202"/>
        <w:jc w:val="both"/>
      </w:pPr>
      <w:r>
        <w:rPr>
          <w:rFonts w:ascii="Times New Roman" w:hAnsi="Times New Roman"/>
          <w:b w:val="0"/>
          <w:i w:val="0"/>
          <w:color w:val="000000"/>
          <w:sz w:val="18"/>
        </w:rPr>
        <w:t>The 2025Q4 cohort was deterministically partitioned into nonoverlapping conformal and operating-threshold subsets. The selected threshold of 0.389 maximized specificity subject to sensitivity of at least 0.90 on calibrated probabilities. The untouched 2026 holdout was not used for threshold selection.</w:t>
      </w:r>
      <w:r/>
    </w:p>
    <w:p>
      <w:pPr>
        <w:spacing w:before="0" w:after="0"/>
      </w:pPr>
      <w:r>
        <w:br w:type="column"/>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1368"/>
            <w:shd w:fill="00529B"/>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i w:val="0"/>
                <w:color w:val="FFFFFF"/>
                <w:sz w:val="13"/>
              </w:rPr>
              <w:t>Metric</w:t>
            </w:r>
          </w:p>
        </w:tc>
        <w:tc>
          <w:tcPr>
            <w:tcW w:type="dxa" w:w="1224"/>
            <w:shd w:fill="00529B"/>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i w:val="0"/>
                <w:color w:val="FFFFFF"/>
                <w:sz w:val="13"/>
              </w:rPr>
              <w:t>Untouched 2026 holdout</w:t>
            </w:r>
          </w:p>
        </w:tc>
        <w:tc>
          <w:tcPr>
            <w:tcW w:type="dxa" w:w="2016"/>
            <w:shd w:fill="00529B"/>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i w:val="0"/>
                <w:color w:val="FFFFFF"/>
                <w:sz w:val="13"/>
              </w:rPr>
              <w:t>Interpretation</w:t>
            </w:r>
          </w:p>
        </w:tc>
      </w:tr>
      <w:tr>
        <w:trPr>
          <w:cantSplit/>
        </w:trPr>
        <w:tc>
          <w:tcPr>
            <w:tcW w:type="dxa" w:w="136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Rows</w:t>
            </w:r>
          </w:p>
        </w:tc>
        <w:tc>
          <w:tcPr>
            <w:tcW w:type="dxa" w:w="1224"/>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696,604</w:t>
            </w:r>
          </w:p>
        </w:tc>
        <w:tc>
          <w:tcPr>
            <w:tcW w:type="dxa" w:w="2016"/>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Evaluation reports; not patient follow-up outcomes.</w:t>
            </w:r>
          </w:p>
        </w:tc>
      </w:tr>
      <w:tr>
        <w:trPr>
          <w:cantSplit/>
        </w:trPr>
        <w:tc>
          <w:tcPr>
            <w:tcW w:type="dxa" w:w="1368"/>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AUROC</w:t>
            </w:r>
          </w:p>
        </w:tc>
        <w:tc>
          <w:tcPr>
            <w:tcW w:type="dxa" w:w="1224"/>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0.8177</w:t>
            </w:r>
          </w:p>
        </w:tc>
        <w:tc>
          <w:tcPr>
            <w:tcW w:type="dxa" w:w="2016"/>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Threshold-independent discrimination for the report target.</w:t>
            </w:r>
          </w:p>
        </w:tc>
      </w:tr>
      <w:tr>
        <w:trPr>
          <w:cantSplit/>
        </w:trPr>
        <w:tc>
          <w:tcPr>
            <w:tcW w:type="dxa" w:w="136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AUPRC</w:t>
            </w:r>
          </w:p>
        </w:tc>
        <w:tc>
          <w:tcPr>
            <w:tcW w:type="dxa" w:w="1224"/>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0.8212</w:t>
            </w:r>
          </w:p>
        </w:tc>
        <w:tc>
          <w:tcPr>
            <w:tcW w:type="dxa" w:w="2016"/>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Precision-recall discrimination for the report target.</w:t>
            </w:r>
          </w:p>
        </w:tc>
      </w:tr>
      <w:tr>
        <w:trPr>
          <w:cantSplit/>
        </w:trPr>
        <w:tc>
          <w:tcPr>
            <w:tcW w:type="dxa" w:w="1368"/>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F1</w:t>
            </w:r>
          </w:p>
        </w:tc>
        <w:tc>
          <w:tcPr>
            <w:tcW w:type="dxa" w:w="1224"/>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0.7823</w:t>
            </w:r>
          </w:p>
        </w:tc>
        <w:tc>
          <w:tcPr>
            <w:tcW w:type="dxa" w:w="2016"/>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At frozen selected threshold 0.389.</w:t>
            </w:r>
          </w:p>
        </w:tc>
      </w:tr>
      <w:tr>
        <w:trPr>
          <w:cantSplit/>
        </w:trPr>
        <w:tc>
          <w:tcPr>
            <w:tcW w:type="dxa" w:w="136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Precision</w:t>
            </w:r>
          </w:p>
        </w:tc>
        <w:tc>
          <w:tcPr>
            <w:tcW w:type="dxa" w:w="1224"/>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69.07%</w:t>
            </w:r>
          </w:p>
        </w:tc>
        <w:tc>
          <w:tcPr>
            <w:tcW w:type="dxa" w:w="2016"/>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At frozen selected threshold 0.389.</w:t>
            </w:r>
          </w:p>
        </w:tc>
      </w:tr>
      <w:tr>
        <w:trPr>
          <w:cantSplit/>
        </w:trPr>
        <w:tc>
          <w:tcPr>
            <w:tcW w:type="dxa" w:w="1368"/>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Sensitivity</w:t>
            </w:r>
          </w:p>
        </w:tc>
        <w:tc>
          <w:tcPr>
            <w:tcW w:type="dxa" w:w="1224"/>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90.18%</w:t>
            </w:r>
          </w:p>
        </w:tc>
        <w:tc>
          <w:tcPr>
            <w:tcW w:type="dxa" w:w="2016"/>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At frozen selected threshold 0.389.</w:t>
            </w:r>
          </w:p>
        </w:tc>
      </w:tr>
      <w:tr>
        <w:trPr>
          <w:cantSplit/>
        </w:trPr>
        <w:tc>
          <w:tcPr>
            <w:tcW w:type="dxa" w:w="136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Specificity</w:t>
            </w:r>
          </w:p>
        </w:tc>
        <w:tc>
          <w:tcPr>
            <w:tcW w:type="dxa" w:w="1224"/>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54.04%</w:t>
            </w:r>
          </w:p>
        </w:tc>
        <w:tc>
          <w:tcPr>
            <w:tcW w:type="dxa" w:w="2016"/>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At frozen selected threshold 0.389.</w:t>
            </w:r>
          </w:p>
        </w:tc>
      </w:tr>
      <w:tr>
        <w:trPr>
          <w:cantSplit/>
        </w:trPr>
        <w:tc>
          <w:tcPr>
            <w:tcW w:type="dxa" w:w="1368"/>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Accuracy / balanced accuracy</w:t>
            </w:r>
          </w:p>
        </w:tc>
        <w:tc>
          <w:tcPr>
            <w:tcW w:type="dxa" w:w="1224"/>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73.28% / 72.11%</w:t>
            </w:r>
          </w:p>
        </w:tc>
        <w:tc>
          <w:tcPr>
            <w:tcW w:type="dxa" w:w="2016"/>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At frozen selected threshold 0.389.</w:t>
            </w:r>
          </w:p>
        </w:tc>
      </w:tr>
      <w:tr>
        <w:trPr>
          <w:cantSplit/>
        </w:trPr>
        <w:tc>
          <w:tcPr>
            <w:tcW w:type="dxa" w:w="136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Brier / ECE</w:t>
            </w:r>
          </w:p>
        </w:tc>
        <w:tc>
          <w:tcPr>
            <w:tcW w:type="dxa" w:w="1224"/>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0.1743 / 0.0358</w:t>
            </w:r>
          </w:p>
        </w:tc>
        <w:tc>
          <w:tcPr>
            <w:tcW w:type="dxa" w:w="2016"/>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Calibration-related measures.</w:t>
            </w:r>
          </w:p>
        </w:tc>
      </w:tr>
    </w:tbl>
    <w:p>
      <w:pPr>
        <w:keepNext/>
        <w:spacing w:before="60" w:after="40"/>
        <w:ind w:firstLine="0"/>
        <w:jc w:val="center"/>
      </w:pPr>
      <w:r>
        <w:rPr>
          <w:rFonts w:ascii="Times New Roman" w:hAnsi="Times New Roman"/>
          <w:b w:val="0"/>
          <w:i w:val="0"/>
          <w:sz w:val="16"/>
        </w:rPr>
        <w:t>TABLE IV. Frozen selected-threshold performance from ml/reports/lightgbm_operating_threshold.json.</w:t>
      </w:r>
    </w:p>
    <w:p>
      <w:pPr>
        <w:spacing w:after="40" w:line="240" w:lineRule="auto"/>
        <w:ind w:firstLine="202"/>
        <w:jc w:val="both"/>
      </w:pPr>
      <w:r>
        <w:rPr>
          <w:rFonts w:ascii="Times New Roman" w:hAnsi="Times New Roman"/>
          <w:b w:val="0"/>
          <w:i w:val="0"/>
          <w:color w:val="000000"/>
          <w:sz w:val="18"/>
        </w:rPr>
        <w:t>Input coverage is protected. If sex, candidate drug, selected indication, or an active medicine is outside the trained vocabulary, the API returns OUT_OF_VOCABULARY and does not provide an overall percentage. The user interface presents input correction rather than silently treating the missing model result as zero risk.</w:t>
      </w:r>
    </w:p>
    <w:p>
      <w:pPr>
        <w:spacing w:before="0" w:after="40" w:line="240" w:lineRule="auto"/>
        <w:ind w:firstLine="202"/>
        <w:jc w:val="both"/>
      </w:pPr>
      <w:r>
        <w:rPr>
          <w:rFonts w:ascii="Times New Roman" w:hAnsi="Times New Roman"/>
          <w:b w:val="0"/>
          <w:i w:val="0"/>
          <w:sz w:val="18"/>
        </w:rPr>
        <w:t>The FAERS preprocessing path discovers quarterly source archives, performs schema checks, applies global CASEID and CASEVERSION deduplication, and joins records through the retained latest PRIMARYID. The final cohort keeps reports with exactly one primary-suspect drug. The processed corpus covers 18 quarters from 2022Q1 through 2026Q2. It contains 6,309,764 exact-one-primary-suspect cohort rows: 3,498,823 rows labelled SERIOUS_OUTCOME and 2,810,941 labelled NO_DOCUMENTED_SERIOUS_OUTCOME. The binary label is constructed from the report outcome codes, with a positive label when the recorded codes intersect the configured serious-outcome code set.</w:t>
      </w:r>
    </w:p>
    <w:p>
      <w:pPr>
        <w:spacing w:before="0" w:after="40" w:line="240" w:lineRule="auto"/>
        <w:ind w:firstLine="202"/>
        <w:jc w:val="both"/>
      </w:pPr>
      <w:r>
        <w:rPr>
          <w:rFonts w:ascii="Times New Roman" w:hAnsi="Times New Roman"/>
          <w:b w:val="0"/>
          <w:i w:val="0"/>
          <w:sz w:val="18"/>
        </w:rPr>
        <w:t>Temporal separation is built into the experiment contract. The selected final model is fit on 4,910,268 rows from 2022Q1 to 2025Q2. Isotonic calibration uses 375,893 rows from 2025Q3. Split conformal calibration uses 326,999 rows from 2025Q4, and 696,604 rows from 2026Q1 to 2026Q2 remain as an untouched final evaluation cohort. The 2025Q4 cohort is further partitioned deterministically by CASEID and class into non-overlapping conformal-calibration and operating-threshold subsets. This separation reduces the risk of choosing a display threshold using the final holdout labels.</w:t>
      </w:r>
    </w:p>
    <w:p>
      <w:pPr>
        <w:spacing w:before="0" w:after="40" w:line="240" w:lineRule="auto"/>
        <w:ind w:firstLine="202"/>
        <w:jc w:val="both"/>
      </w:pPr>
      <w:r>
        <w:rPr>
          <w:rFonts w:ascii="Times New Roman" w:hAnsi="Times New Roman"/>
          <w:b w:val="0"/>
          <w:i w:val="0"/>
          <w:sz w:val="18"/>
        </w:rPr>
        <w:t>The FeatureBuilder is fitted from training data only and produces a sparse representation. The implemented features include scaled age, an age-missing indicator, medication count, a polypharmacy indicator for five or more medicines, unknown-medication count, normalized sex, candidate-drug vocabulary membership, indication vocabulary membership, candidate-by-indication vocabulary membership, and current-medication vocabulary features. The train-serving vocabulary contract is persisted with the artifact, so the same encoding logic is used during model development and live inference.</w:t>
      </w:r>
    </w:p>
    <w:p>
      <w:pPr>
        <w:spacing w:before="0" w:after="40" w:line="240" w:lineRule="auto"/>
        <w:ind w:firstLine="202"/>
        <w:jc w:val="both"/>
      </w:pPr>
      <w:r>
        <w:rPr>
          <w:rFonts w:ascii="Times New Roman" w:hAnsi="Times New Roman"/>
          <w:b w:val="0"/>
          <w:i w:val="0"/>
          <w:sz w:val="18"/>
        </w:rPr>
        <w:t>The runtime coverage policy is stricter than simply encoding an unknown bucket. If normalized sex, candidate drug, selected indication, or an active medication lies outside the trained vocabulary required by the service contract, the API returns an OUT_OF_VOCABULARY state rather than quietly presenting an ordinary risk value. A displayed degraded-input state likewise communicates that a result does not have complete input coverage. These states are about whether the artifact can represent the submitted context; they are not clinical severity classes.</w:t>
      </w:r>
    </w:p>
    <w:p>
      <w:pPr>
        <w:spacing w:before="0" w:after="40" w:line="240" w:lineRule="auto"/>
        <w:ind w:firstLine="202"/>
        <w:jc w:val="both"/>
      </w:pPr>
      <w:r>
        <w:rPr>
          <w:rFonts w:ascii="Times New Roman" w:hAnsi="Times New Roman"/>
          <w:b w:val="0"/>
          <w:i w:val="0"/>
          <w:sz w:val="18"/>
        </w:rPr>
        <w:t>The primary LightGBM probability is calibrated with isotonic calibration. Twenty CASEID-level bootstrap replicas provide a 90 percent percentile variability range; their upper bound is used as the uncertainty-adjusted risk input for ranking. This upper bound is a conservative model-variability quantity, not a confidence interval for an individual patient outcome. The model also emits a split conformal classification set for the two report labels. The set is interpreted as focused on serious outcome, focused on no documented serious outcome, ambiguous when both labels remain plausible, or unavailable when the set is empty. It is not a probability, a clinical diagnosis, or a ranking weight.</w:t>
      </w:r>
    </w:p>
    <w:p>
      <w:pPr>
        <w:spacing w:before="0" w:after="40" w:line="240" w:lineRule="auto"/>
        <w:ind w:firstLine="202"/>
        <w:jc w:val="both"/>
      </w:pPr>
      <w:r>
        <w:rPr>
          <w:rFonts w:ascii="Times New Roman" w:hAnsi="Times New Roman"/>
          <w:b w:val="0"/>
          <w:i w:val="0"/>
          <w:sz w:val="18"/>
        </w:rPr>
        <w:t>The offline operating threshold is separated from the live decision path. On the 2025Q4 operating subset, the calibrated threshold 0.389 was selected to maximise specificity subject to sensitivity of at least 0.90. It is then frozen and evaluated once on the 2026 holdout. The threshold does not drive the live probability display, safety tiers, source lookups, conformal result, HGNN output, or candidate-ranking formula. It is evaluation metadata for a particular binary operating point.</w:t>
      </w:r>
    </w:p>
    <w:p>
      <w:pPr>
        <w:pStyle w:val="Heading1"/>
        <w:keepNext/>
        <w:spacing w:before="120" w:after="40"/>
        <w:ind w:firstLine="0"/>
        <w:jc w:val="left"/>
      </w:pPr>
      <w:r>
        <w:rPr>
          <w:rFonts w:ascii="Times New Roman" w:hAnsi="Times New Roman"/>
          <w:b/>
          <w:i w:val="0"/>
          <w:color w:val="00529B"/>
          <w:sz w:val="18"/>
        </w:rPr>
        <w:t>VII. SAFETY AWARE SAME INDICATION ALTERNATIVE RECOMMENDATION</w:t>
      </w:r>
    </w:p>
    <w:p>
      <w:pPr>
        <w:spacing w:after="40" w:line="240" w:lineRule="auto"/>
        <w:ind w:firstLine="202"/>
        <w:jc w:val="both"/>
      </w:pPr>
      <w:r>
        <w:rPr>
          <w:rFonts w:ascii="Times New Roman" w:hAnsi="Times New Roman"/>
          <w:b w:val="0"/>
          <w:i w:val="0"/>
          <w:color w:val="000000"/>
          <w:sz w:val="18"/>
        </w:rPr>
        <w:t>Same-Indication Alternative Recommendation begins with DrugCentral candidates sharing the selected indication and excludes the current candidate. Candidate safety evidence is evaluated before machine-learning calls. A major DDInter interaction or high/serious DrugCentral drug-disease restriction produces NOT RECOMMENDED. If essential DDInter or DrugCentral evidence is incomplete, the candidate produces REQUIRES CLINICAL REVIEW. Only fully evaluated candidates proceed to LightGBM ranking.</w:t>
      </w:r>
    </w:p>
    <w:p>
      <w:pPr>
        <w:spacing w:after="40" w:line="240" w:lineRule="auto"/>
        <w:ind w:firstLine="202"/>
        <w:jc w:val="both"/>
      </w:pPr>
      <w:r>
        <w:rPr>
          <w:rFonts w:ascii="Times New Roman" w:hAnsi="Times New Roman"/>
          <w:b w:val="0"/>
          <w:i w:val="0"/>
          <w:color w:val="000000"/>
          <w:sz w:val="18"/>
        </w:rPr>
        <w:t>For an eligible candidate, the deterministic final risk score is 0.50 multiplied by uncertainty-adjusted LightGBM risk, plus 0.30 multiplied by DDInter risk, plus 0.20 multiplied by DrugCentral drug-disease risk. Lower values rank earlier. The implemented source-risk mapping is 0.10 for MINOR or LOW, 0.30 for a successful lookup with no documented relationship, 0.50 for MODERATE, and 0.90 for MAJOR or HIGH. Complete evidence is required before the formula is evaluated. Conformal information modifies LightGBM interpretation and has no independent ranking weight.</w:t>
      </w:r>
    </w:p>
    <w:p>
      <w:pPr>
        <w:spacing w:after="40" w:line="240" w:lineRule="auto"/>
        <w:ind w:firstLine="202"/>
        <w:jc w:val="both"/>
      </w:pPr>
      <w:r>
        <w:rPr>
          <w:rFonts w:ascii="Times New Roman" w:hAnsi="Times New Roman"/>
          <w:b w:val="0"/>
          <w:i w:val="0"/>
          <w:color w:val="000000"/>
          <w:sz w:val="18"/>
        </w:rPr>
        <w:t>This ordering should not be read as a clinical risk scale or as proof of therapeutic appropriateness. It is an explicit engineering policy for ordering fully evaluated candidate alternatives in the current prototype. Earlier medication-recommendation research has considered DDI gating [1], hierarchical prescription inference [3], multi-view fusion [7], visit similarity [8], and causal framing [9]. VitaNexus-RX does not claim to reproduce those architectures or their reported results.</w:t>
      </w:r>
    </w:p>
    <w:p>
      <w:pPr>
        <w:spacing w:before="0" w:after="40" w:line="240" w:lineRule="auto"/>
        <w:ind w:firstLine="202"/>
        <w:jc w:val="both"/>
      </w:pPr>
      <w:r>
        <w:rPr>
          <w:rFonts w:ascii="Times New Roman" w:hAnsi="Times New Roman"/>
          <w:b w:val="0"/>
          <w:i w:val="0"/>
          <w:sz w:val="18"/>
        </w:rPr>
        <w:t>Same-Indication Alternative Recommendation begins only after the user selects a DrugCentral indication. The API queries candidates associated with that indication, excludes the current candidate, normalizes the returned candidate terms, and evaluates each candidate against the active medication and condition context. Candidate generation by shared indication is a retrieval decision, not a claim that medicines are interchangeable or clinically appropriate for every patient.</w:t>
      </w:r>
    </w:p>
    <w:p>
      <w:pPr>
        <w:spacing w:before="0" w:after="40" w:line="240" w:lineRule="auto"/>
        <w:ind w:firstLine="202"/>
        <w:jc w:val="both"/>
      </w:pPr>
      <w:r>
        <w:rPr>
          <w:rFonts w:ascii="Times New Roman" w:hAnsi="Times New Roman"/>
          <w:b w:val="0"/>
          <w:i w:val="0"/>
          <w:sz w:val="18"/>
        </w:rPr>
        <w:t>Safety eligibility is resolved before ranking. Candidates with a documented major DDI or high drug-disease restriction are NOT RECOMMENDED. Candidates with source-resolution or lookup failures remain REQUIRES CLINICAL REVIEW. Candidates with completed and resolved NO DOCUMENTED INTERACTION or NO DOCUMENTED RELATIONSHIP outcomes are allowed to proceed. This ordering makes the absence of a source record usable only when the system can demonstrate that the lookup itself completed.</w:t>
      </w:r>
    </w:p>
    <w:p>
      <w:pPr>
        <w:spacing w:before="0" w:after="40" w:line="240" w:lineRule="auto"/>
        <w:ind w:firstLine="202"/>
        <w:jc w:val="both"/>
      </w:pPr>
      <w:r>
        <w:rPr>
          <w:rFonts w:ascii="Times New Roman" w:hAnsi="Times New Roman"/>
          <w:b w:val="0"/>
          <w:i w:val="0"/>
          <w:sz w:val="18"/>
        </w:rPr>
        <w:t>For an eligible candidate, the implemented deterministic score combines 50 percent uncertainty-adjusted LightGBM risk, 30 percent DDI risk, and 20 percent drug-disease risk. The source-risk mappings used by the ranking policy are MINOR or LOW equal to 0.10, no documented relationship equal to 0.30, MODERATE equal to 0.50, and MAJOR or HIGH equal to 0.90. This is an engineering ranking policy that makes the relative contributions inspectable; the number is not a calibrated clinical risk scale, therapeutic benefit estimate, or treatment recommendation.</w:t>
      </w:r>
    </w:p>
    <w:p>
      <w:pPr>
        <w:spacing w:before="0" w:after="40" w:line="240" w:lineRule="auto"/>
        <w:ind w:firstLine="202"/>
        <w:jc w:val="both"/>
      </w:pPr>
      <w:r>
        <w:rPr>
          <w:rFonts w:ascii="Times New Roman" w:hAnsi="Times New Roman"/>
          <w:b w:val="0"/>
          <w:i w:val="0"/>
          <w:sz w:val="18"/>
        </w:rPr>
        <w:t>The rendered recommendation card exposes the indication relationship, source-specific labels, evidence-completeness status, safety-gate result, and a reason when model ranking cannot run. If the model cannot provide a valid value, the candidate is not assigned an invented zero-risk substitute. Indian brand mapping is performed only after the evidence and ranking path and is presented as a mapping layer rather than as a clinical-safety source.</w:t>
      </w:r>
    </w:p>
    <w:p>
      <w:pPr>
        <w:pStyle w:val="Heading1"/>
        <w:keepNext/>
        <w:spacing w:before="120" w:after="40"/>
        <w:ind w:firstLine="0"/>
        <w:jc w:val="left"/>
      </w:pPr>
      <w:r>
        <w:rPr>
          <w:rFonts w:ascii="Times New Roman" w:hAnsi="Times New Roman"/>
          <w:b/>
          <w:i w:val="0"/>
          <w:color w:val="00529B"/>
          <w:sz w:val="18"/>
        </w:rPr>
        <w:t>VIII. SUPPLEMENTARY HGNN EVENT PROFILE</w:t>
      </w:r>
    </w:p>
    <w:p>
      <w:pPr>
        <w:spacing w:after="40" w:line="240" w:lineRule="auto"/>
        <w:ind w:firstLine="202"/>
        <w:jc w:val="both"/>
      </w:pPr>
      <w:r>
        <w:rPr>
          <w:rFonts w:ascii="Times New Roman" w:hAnsi="Times New Roman"/>
          <w:b w:val="0"/>
          <w:i w:val="0"/>
          <w:color w:val="000000"/>
          <w:sz w:val="18"/>
        </w:rPr>
        <w:t>The system also exposes a separate HGNN-derived specific-event profile. It loads a hash-verified epoch-20 selection checkpoint with an ordered 100-label vocabulary and returns deterministic top-K sigmoid model scores. The interface labels this component Baseline and Audit Pending. It is independent of LightGBM, does not alter DDInter or DrugCentral safety gates, does not alter candidate generation or ranking, and must not be interpreted as an individual event-incidence probability.</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1368"/>
            <w:shd w:fill="00529B"/>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i w:val="0"/>
                <w:color w:val="FFFFFF"/>
                <w:sz w:val="13"/>
              </w:rPr>
              <w:t>Baseline evaluation quantity</w:t>
            </w:r>
          </w:p>
        </w:tc>
        <w:tc>
          <w:tcPr>
            <w:tcW w:type="dxa" w:w="1224"/>
            <w:shd w:fill="00529B"/>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i w:val="0"/>
                <w:color w:val="FFFFFF"/>
                <w:sz w:val="13"/>
              </w:rPr>
              <w:t>Value</w:t>
            </w:r>
          </w:p>
        </w:tc>
        <w:tc>
          <w:tcPr>
            <w:tcW w:type="dxa" w:w="2016"/>
            <w:shd w:fill="00529B"/>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i w:val="0"/>
                <w:color w:val="FFFFFF"/>
                <w:sz w:val="13"/>
              </w:rPr>
              <w:t>Scope</w:t>
            </w:r>
          </w:p>
        </w:tc>
      </w:tr>
      <w:tr>
        <w:trPr>
          <w:cantSplit/>
        </w:trPr>
        <w:tc>
          <w:tcPr>
            <w:tcW w:type="dxa" w:w="136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Best epoch</w:t>
            </w:r>
          </w:p>
        </w:tc>
        <w:tc>
          <w:tcPr>
            <w:tcW w:type="dxa" w:w="1224"/>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20</w:t>
            </w:r>
          </w:p>
        </w:tc>
        <w:tc>
          <w:tcPr>
            <w:tcW w:type="dxa" w:w="2016"/>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Selection artifact.</w:t>
            </w:r>
          </w:p>
        </w:tc>
      </w:tr>
      <w:tr>
        <w:trPr>
          <w:cantSplit/>
        </w:trPr>
        <w:tc>
          <w:tcPr>
            <w:tcW w:type="dxa" w:w="1368"/>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Micro-AUPRC</w:t>
            </w:r>
          </w:p>
        </w:tc>
        <w:tc>
          <w:tcPr>
            <w:tcW w:type="dxa" w:w="1224"/>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0.156023</w:t>
            </w:r>
          </w:p>
        </w:tc>
        <w:tc>
          <w:tcPr>
            <w:tcW w:type="dxa" w:w="2016"/>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Validation value in HGNN selection evaluation.</w:t>
            </w:r>
          </w:p>
        </w:tc>
      </w:tr>
      <w:tr>
        <w:trPr>
          <w:cantSplit/>
        </w:trPr>
        <w:tc>
          <w:tcPr>
            <w:tcW w:type="dxa" w:w="136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Macro-AUPRC</w:t>
            </w:r>
          </w:p>
        </w:tc>
        <w:tc>
          <w:tcPr>
            <w:tcW w:type="dxa" w:w="1224"/>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0.129541</w:t>
            </w:r>
          </w:p>
        </w:tc>
        <w:tc>
          <w:tcPr>
            <w:tcW w:type="dxa" w:w="2016"/>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Validation value in HGNN selection evaluation.</w:t>
            </w:r>
          </w:p>
        </w:tc>
      </w:tr>
      <w:tr>
        <w:trPr>
          <w:cantSplit/>
        </w:trPr>
        <w:tc>
          <w:tcPr>
            <w:tcW w:type="dxa" w:w="1368"/>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Micro-F1</w:t>
            </w:r>
          </w:p>
        </w:tc>
        <w:tc>
          <w:tcPr>
            <w:tcW w:type="dxa" w:w="1224"/>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0.066962</w:t>
            </w:r>
          </w:p>
        </w:tc>
        <w:tc>
          <w:tcPr>
            <w:tcW w:type="dxa" w:w="2016"/>
            <w:shd w:fill="F2F5F8"/>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Validation value in HGNN selection evaluation.</w:t>
            </w:r>
          </w:p>
        </w:tc>
      </w:tr>
      <w:tr>
        <w:trPr>
          <w:cantSplit/>
        </w:trPr>
        <w:tc>
          <w:tcPr>
            <w:tcW w:type="dxa" w:w="136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Micro precision / recall</w:t>
            </w:r>
          </w:p>
        </w:tc>
        <w:tc>
          <w:tcPr>
            <w:tcW w:type="dxa" w:w="1224"/>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center"/>
            </w:pPr>
            <w:r>
              <w:rPr>
                <w:rFonts w:ascii="Times New Roman" w:hAnsi="Times New Roman"/>
                <w:b w:val="0"/>
                <w:i w:val="0"/>
                <w:color w:val="000000"/>
                <w:sz w:val="13"/>
              </w:rPr>
              <w:t>0.621854 / 0.035386</w:t>
            </w:r>
          </w:p>
        </w:tc>
        <w:tc>
          <w:tcPr>
            <w:tcW w:type="dxa" w:w="2016"/>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28" w:lineRule="auto"/>
              <w:ind w:firstLine="0"/>
              <w:jc w:val="left"/>
            </w:pPr>
            <w:r>
              <w:rPr>
                <w:rFonts w:ascii="Times New Roman" w:hAnsi="Times New Roman"/>
                <w:b w:val="0"/>
                <w:i w:val="0"/>
                <w:color w:val="000000"/>
                <w:sz w:val="13"/>
              </w:rPr>
              <w:t>Validation values in HGNN selection evaluation.</w:t>
            </w:r>
          </w:p>
        </w:tc>
      </w:tr>
    </w:tbl>
    <w:p>
      <w:pPr>
        <w:keepNext/>
        <w:spacing w:before="60" w:after="40"/>
        <w:ind w:firstLine="0"/>
        <w:jc w:val="center"/>
      </w:pPr>
      <w:r>
        <w:rPr>
          <w:rFonts w:ascii="Times New Roman" w:hAnsi="Times New Roman"/>
          <w:b w:val="0"/>
          <w:i w:val="0"/>
          <w:sz w:val="16"/>
        </w:rPr>
        <w:t>TABLE V. Supplementary HGNN baseline selection metrics. These are not ranking metrics.</w:t>
      </w:r>
    </w:p>
    <w:p>
      <w:pPr>
        <w:spacing w:after="40" w:line="240" w:lineRule="auto"/>
        <w:ind w:firstLine="202"/>
        <w:jc w:val="both"/>
      </w:pPr>
      <w:r>
        <w:rPr>
          <w:rFonts w:ascii="Times New Roman" w:hAnsi="Times New Roman"/>
          <w:b w:val="0"/>
          <w:i w:val="0"/>
          <w:color w:val="000000"/>
          <w:sz w:val="18"/>
        </w:rPr>
        <w:t>Graph-based DDI and medication models in the supplied literature demonstrate that graph structure can support computational drug-relation or recommendation tasks [2], [5], and [11]. The current HGNN component is retained as a historical baseline display rather than the system recommendation engine.</w:t>
      </w:r>
    </w:p>
    <w:p>
      <w:pPr>
        <w:spacing w:before="0" w:after="40" w:line="240" w:lineRule="auto"/>
        <w:ind w:firstLine="202"/>
        <w:jc w:val="both"/>
      </w:pPr>
      <w:r>
        <w:rPr>
          <w:rFonts w:ascii="Times New Roman" w:hAnsi="Times New Roman"/>
          <w:b w:val="0"/>
          <w:i w:val="0"/>
          <w:sz w:val="18"/>
        </w:rPr>
        <w:t>The HGNN component remains a historical baseline and a supplementary specific-event profile. It loads a hash-verified epoch-20 checkpoint and an ordered 100-label vocabulary, and it returns event-label model scores. It has no dependency on the LightGBM bootstrap ensemble, split conformal metadata, clinical-safety gate, or recommendation-ranking service. Accordingly, its values must not be combined with the LightGBM serious-outcome reporting-task probability or interpreted as patient-specific adverse-event probabilities.</w:t>
      </w:r>
    </w:p>
    <w:p>
      <w:pPr>
        <w:spacing w:before="0" w:after="40" w:line="240" w:lineRule="auto"/>
        <w:ind w:firstLine="202"/>
        <w:jc w:val="both"/>
      </w:pPr>
      <w:r>
        <w:rPr>
          <w:rFonts w:ascii="Times New Roman" w:hAnsi="Times New Roman"/>
          <w:b w:val="0"/>
          <w:i w:val="0"/>
          <w:sz w:val="18"/>
        </w:rPr>
        <w:t>The reported HGNN selection metrics are retained for transparency because the component remains exposed in the system. They are not evidence of a production ranking engine: the selection micro-AUPRC is 0.156023, macro-AUPRC is 0.129541, micro-F1 is 0.066962, precision is 0.621854, and recall is 0.035386 at epoch 20. The low recall and the baseline role limit the component to supplementary event-profile presentation in the current architecture.</w:t>
      </w:r>
    </w:p>
    <w:p>
      <w:pPr>
        <w:pStyle w:val="Heading1"/>
        <w:keepNext/>
        <w:spacing w:before="120" w:after="40"/>
        <w:ind w:firstLine="0"/>
        <w:jc w:val="left"/>
      </w:pPr>
      <w:r>
        <w:rPr>
          <w:rFonts w:ascii="Times New Roman" w:hAnsi="Times New Roman"/>
          <w:b/>
          <w:i w:val="0"/>
          <w:color w:val="00529B"/>
          <w:sz w:val="18"/>
        </w:rPr>
        <w:t>IX. RESULTS AND ARTIFACT BASED EVALUATION</w:t>
      </w:r>
    </w:p>
    <w:p>
      <w:pPr>
        <w:spacing w:before="0" w:after="40" w:line="240" w:lineRule="auto"/>
        <w:ind w:firstLine="202"/>
        <w:jc w:val="both"/>
      </w:pPr>
      <w:r>
        <w:rPr>
          <w:rFonts w:ascii="Times New Roman" w:hAnsi="Times New Roman"/>
          <w:b w:val="0"/>
          <w:i w:val="0"/>
          <w:sz w:val="18"/>
        </w:rPr>
        <w:t>The frozen LightGBM operating-point evaluation on the untouched 2026Q1-Q2 cohort reports AUROC 0.8177, AUPRC 0.8212, F1 0.7823, precision 69.07 percent, sensitivity 90.18 percent, specificity 54.04 percent, accuracy 73.28 percent, balanced accuracy 72.11 percent, Brier score 0.1743, and expected calibration error 0.0358. These results describe the FAERS serious-outcome reporting task and the declared temporal holdout; they do not validate clinical outcomes in a prospective patient population.</w:t>
      </w:r>
    </w:p>
    <w:p>
      <w:pPr>
        <w:spacing w:before="0" w:after="40" w:line="240" w:lineRule="auto"/>
        <w:ind w:firstLine="202"/>
        <w:jc w:val="both"/>
      </w:pPr>
      <w:r>
        <w:rPr>
          <w:rFonts w:ascii="Times New Roman" w:hAnsi="Times New Roman"/>
          <w:b w:val="0"/>
          <w:i w:val="0"/>
          <w:sz w:val="18"/>
        </w:rPr>
        <w:t>At the selected 0.389 operating threshold, the 2025Q4 selection subset achieved sensitivity 90.684 percent and specificity 58.264 percent. The later 2026 evaluation was not used for threshold selection. The calibration report records isotonic calibration on 2025Q3, and the model artifact requires full-mode artifacts and all 20 bootstrap replicas before inference is made available. Together, these constraints make the evaluation and service contracts auditable rather than allowing an unverified smoke artifact to be presented as a final model.</w:t>
      </w:r>
    </w:p>
    <w:p>
      <w:pPr>
        <w:spacing w:before="0" w:after="40" w:line="240" w:lineRule="auto"/>
        <w:ind w:firstLine="202"/>
        <w:jc w:val="both"/>
      </w:pPr>
      <w:r>
        <w:rPr>
          <w:rFonts w:ascii="Times New Roman" w:hAnsi="Times New Roman"/>
          <w:b w:val="0"/>
          <w:i w:val="0"/>
          <w:sz w:val="18"/>
        </w:rPr>
        <w:t>The conformal configuration has target coverage 0.90, while the reported empirical coverage on the 2026 evaluation is 0.87394 with average set size 1.31826 and singleton rate 0.68174. The observed coverage is therefore below the nominal target on that temporal holdout. This is a reliability diagnostic, not evidence that a 90 percent confidence level is guaranteed for every future context. The interface should preserve this distinction when presenting focused or ambiguous prediction-set labels.</w:t>
      </w:r>
    </w:p>
    <w:p>
      <w:pPr>
        <w:spacing w:before="0" w:after="40" w:line="240" w:lineRule="auto"/>
        <w:ind w:firstLine="202"/>
        <w:jc w:val="both"/>
      </w:pPr>
      <w:r>
        <w:rPr>
          <w:rFonts w:ascii="Times New Roman" w:hAnsi="Times New Roman"/>
          <w:b w:val="0"/>
          <w:i w:val="0"/>
          <w:sz w:val="18"/>
        </w:rPr>
        <w:t>The knowledge-source evaluation is assessed by state semantics rather than by a claim of predictive accuracy. A completed DDInter lookup with no record is rendered as NO DOCUMENTED INTERACTION and remains eligible for later checks. A failed or unresolved lookup remains REQUIRES CLINICAL REVIEW. The corresponding DrugCentral logic distinguishes no documented relationship from incomplete condition coverage. These behaviors are verified by the application safety contract and are essential to avoiding both false reassurance and unnecessary candidate blocking.</w:t>
      </w:r>
    </w:p>
    <w:p>
      <w:pPr>
        <w:pStyle w:val="Heading1"/>
        <w:keepNext/>
        <w:spacing w:before="120" w:after="40"/>
        <w:ind w:firstLine="0"/>
        <w:jc w:val="left"/>
      </w:pPr>
      <w:r>
        <w:rPr>
          <w:rFonts w:ascii="Times New Roman" w:hAnsi="Times New Roman"/>
          <w:b/>
          <w:i w:val="0"/>
          <w:color w:val="00529B"/>
          <w:sz w:val="18"/>
        </w:rPr>
        <w:t>X. DISCUSSION AND LIMITATIONS</w:t>
      </w:r>
    </w:p>
    <w:p>
      <w:pPr>
        <w:spacing w:after="40" w:line="240" w:lineRule="auto"/>
        <w:ind w:firstLine="202"/>
        <w:jc w:val="both"/>
      </w:pPr>
      <w:r>
        <w:rPr>
          <w:rFonts w:ascii="Times New Roman" w:hAnsi="Times New Roman"/>
          <w:b w:val="0"/>
          <w:i w:val="0"/>
          <w:color w:val="000000"/>
          <w:sz w:val="18"/>
        </w:rPr>
        <w:t>The safety gate prevents a favorable learned value from overriding a major DDI or high drug-disease restriction. It also prevents a valid empty DDInter result from being incorrectly treated as unresolved. The latter distinction is material: no documented interaction means that a completed lookup did not return a record for the resolved pair; it does not prove safety. REQUIRES CLINICAL REVIEW instead means that essential evidence could not be completed with sufficient identifier certainty.</w:t>
      </w:r>
    </w:p>
    <w:p>
      <w:pPr>
        <w:spacing w:after="40" w:line="240" w:lineRule="auto"/>
        <w:ind w:firstLine="202"/>
        <w:jc w:val="both"/>
      </w:pPr>
      <w:r>
        <w:rPr>
          <w:rFonts w:ascii="Times New Roman" w:hAnsi="Times New Roman"/>
          <w:b w:val="0"/>
          <w:i w:val="0"/>
          <w:color w:val="000000"/>
          <w:sz w:val="18"/>
        </w:rPr>
        <w:t>Several limitations constrain interpretation. FAERS is a spontaneous-reporting source with reporting and selection bias and no exposed-population denominator in the runtime. The LightGBM task is therefore conditional on the learned report target. DrugCentral condition matching can be incomplete for broad, ambiguous, or noncanonical clinician-entered terms. The HGNN event profile requires independent calibration and audit. The current code does not automate Drug-Allergy Interaction analysis and does not perform online patient-feedback retraining. No clinical validation, prospective study, causal effect estimate, ADR-prevention claim, or regulatory claim is established by the available project artifacts.</w:t>
      </w:r>
    </w:p>
    <w:p>
      <w:pPr>
        <w:spacing w:after="40" w:line="240" w:lineRule="auto"/>
        <w:ind w:firstLine="202"/>
        <w:jc w:val="both"/>
      </w:pPr>
      <w:r>
        <w:rPr>
          <w:rFonts w:ascii="Times New Roman" w:hAnsi="Times New Roman"/>
        </w:rPr>
        <w:t>Future work should evaluate terminology-resolution strategies under clinical governance, externally validate the report-target model on an independently governed dataset, study ranking behavior prospectively without claiming treatment benefit, and determine whether a separately governed allergy-analysis branch is appropriate. These are future research directions, not implemented results.</w:t>
      </w:r>
    </w:p>
    <w:p>
      <w:pPr>
        <w:spacing w:before="0" w:after="40" w:line="240" w:lineRule="auto"/>
        <w:ind w:firstLine="202"/>
        <w:jc w:val="both"/>
      </w:pPr>
      <w:r>
        <w:rPr>
          <w:rFonts w:ascii="Times New Roman" w:hAnsi="Times New Roman"/>
          <w:b w:val="0"/>
          <w:i w:val="0"/>
          <w:sz w:val="18"/>
        </w:rPr>
        <w:t>The principal strength of the design is separation of concerns: source records remain source records, model outputs remain report-target estimates, and ranking remains an explicit engineering policy. The same separation also limits the claims that can be made. The system does not infer medication appropriateness from a shared indication alone, does not convert a no-record source response into proof of safety, and does not treat a learned FAERS reporting-task result as a prospective patient outcome probability.</w:t>
      </w:r>
    </w:p>
    <w:p>
      <w:pPr>
        <w:spacing w:before="0" w:after="40" w:line="240" w:lineRule="auto"/>
        <w:ind w:firstLine="202"/>
        <w:jc w:val="both"/>
      </w:pPr>
      <w:r>
        <w:rPr>
          <w:rFonts w:ascii="Times New Roman" w:hAnsi="Times New Roman"/>
          <w:b w:val="0"/>
          <w:i w:val="0"/>
          <w:sz w:val="18"/>
        </w:rPr>
        <w:t>Several implementation and evaluation boundaries remain. Terminology coverage can be incomplete, external knowledge-source availability can change, source datasets have their own update cycles and coverage limits, and the runtime fail-closed policy may leave otherwise relevant candidates in a review-required state. The displayed safety labels describe what the system could establish from its configured sources for the submitted terms; they do not provide a complete medication reconciliation or a diagnosis.</w:t>
      </w:r>
    </w:p>
    <w:p>
      <w:pPr>
        <w:spacing w:before="0" w:after="40" w:line="240" w:lineRule="auto"/>
        <w:ind w:firstLine="202"/>
        <w:jc w:val="both"/>
      </w:pPr>
      <w:r>
        <w:rPr>
          <w:rFonts w:ascii="Times New Roman" w:hAnsi="Times New Roman"/>
          <w:b w:val="0"/>
          <w:i w:val="0"/>
          <w:sz w:val="18"/>
        </w:rPr>
        <w:t>The machine-learning evaluation is temporal but retrospective and based on spontaneous reports. The cohort construction, exact-one-primary-suspect restriction, target definition, and representation coverage constrain generalisation. Calibration, bootstrap variation, and conformal prediction add information about the implemented artifact, but they do not remove reporting bias, establish causal effects, or supply patient-level incidence. Prospective evaluation, independently governed external validation, and monitored source-version changes are required before any stronger clinical claim could be considered.</w:t>
      </w:r>
    </w:p>
    <w:p>
      <w:pPr>
        <w:spacing w:before="0" w:after="40" w:line="240" w:lineRule="auto"/>
        <w:ind w:firstLine="202"/>
        <w:jc w:val="both"/>
      </w:pPr>
      <w:r>
        <w:rPr>
          <w:rFonts w:ascii="Times New Roman" w:hAnsi="Times New Roman"/>
          <w:b w:val="0"/>
          <w:i w:val="0"/>
          <w:sz w:val="18"/>
        </w:rPr>
        <w:t>Future work should preserve the present safety contract while evaluating terminology-resolution strategies, richer clinician-reviewed context, prospective workflow usability, and external validation under clinical governance. Any extension that incorporates allergy or duration into automated ranking would require explicit model and data evidence; these values are not current ranking inputs. Similarly, an HGNN that contributes to ranking would require a separate, validated design and should not be inferred from the supplementary baseline currently reported.</w:t>
      </w:r>
    </w:p>
    <w:p>
      <w:pPr>
        <w:pStyle w:val="Heading1"/>
        <w:keepNext/>
        <w:spacing w:before="120" w:after="40"/>
        <w:ind w:firstLine="0"/>
        <w:jc w:val="left"/>
      </w:pPr>
      <w:r>
        <w:rPr>
          <w:rFonts w:ascii="Times New Roman" w:hAnsi="Times New Roman"/>
          <w:b/>
          <w:i w:val="0"/>
          <w:color w:val="00529B"/>
          <w:sz w:val="18"/>
        </w:rPr>
        <w:t>XI. CONCLUSION</w:t>
      </w:r>
    </w:p>
    <w:p>
      <w:pPr>
        <w:spacing w:after="40" w:line="240" w:lineRule="auto"/>
        <w:ind w:firstLine="202"/>
        <w:jc w:val="both"/>
      </w:pPr>
      <w:r>
        <w:rPr>
          <w:rFonts w:ascii="Times New Roman" w:hAnsi="Times New Roman"/>
          <w:b w:val="0"/>
          <w:i w:val="0"/>
          <w:color w:val="000000"/>
          <w:sz w:val="18"/>
        </w:rPr>
        <w:t>VitaNexus-RX implements a safety-aware, evidence-bounded CDSS workflow for Same-Indication Alternative Recommendation. It keeps documented source relationships, completed negative lookups, unresolved evidence, a FAERS serious-outcome report estimate, bootstrap variation, and Conformal Prediction information distinct. Its deterministic gate and ranking policy are reproducible from the current code and evaluation artifacts. The available evidence supports implementation and the stated report-target evaluation; it does not support patient-level adverse-event prediction or clinical-effect claims.</w:t>
      </w:r>
    </w:p>
    <w:p>
      <w:pPr>
        <w:pStyle w:val="Heading1"/>
        <w:keepNext/>
        <w:spacing w:before="140" w:after="40"/>
        <w:ind w:firstLine="0"/>
        <w:jc w:val="left"/>
      </w:pPr>
      <w:r>
        <w:rPr>
          <w:rFonts w:ascii="Times New Roman" w:hAnsi="Times New Roman"/>
          <w:b/>
          <w:i w:val="0"/>
          <w:color w:val="00529B"/>
          <w:sz w:val="18"/>
        </w:rPr>
        <w:t>REFERENCES</w:t>
      </w:r>
    </w:p>
    <w:p>
      <w:pPr>
        <w:spacing w:after="20" w:line="235" w:lineRule="auto"/>
        <w:ind w:left="216" w:hanging="216"/>
        <w:jc w:val="both"/>
      </w:pPr>
      <w:r>
        <w:rPr>
          <w:rFonts w:ascii="Times New Roman" w:hAnsi="Times New Roman"/>
          <w:b w:val="0"/>
          <w:i w:val="0"/>
          <w:color w:val="000000"/>
          <w:sz w:val="15"/>
        </w:rPr>
        <w:t>[1] Y. Ren, Y. Shi, K. Zhang, X. Wang, Z. Chen, and H. Li, "A Drug Recommendation Model Based on Message Propagation and DDI Gating Mechanism," IEEE Journal of Biomedical and Health Informatics, vol. 26, no. 7, p. 3478, Jul. 2022.</w:t>
      </w:r>
    </w:p>
    <w:p>
      <w:pPr>
        <w:spacing w:after="20" w:line="235" w:lineRule="auto"/>
        <w:ind w:left="216" w:hanging="216"/>
        <w:jc w:val="both"/>
      </w:pPr>
      <w:r>
        <w:rPr>
          <w:rFonts w:ascii="Times New Roman" w:hAnsi="Times New Roman"/>
          <w:b w:val="0"/>
          <w:i w:val="0"/>
          <w:color w:val="000000"/>
          <w:sz w:val="15"/>
        </w:rPr>
        <w:t>[2] T. Luo, T. Lin, C. Yang, L. Fan, and W. Wang, "A Drug-Drug Interaction Prediction Method Based on Atomic 3D Position Encoding and Elastic Message Passing Graph Neural Network," IEEE Journal of Biomedical and Health Informatics, vol. 29, no. 9, p. 6915, Sep. 2025.</w:t>
      </w:r>
    </w:p>
    <w:p>
      <w:pPr>
        <w:spacing w:after="20" w:line="235" w:lineRule="auto"/>
        <w:ind w:left="216" w:hanging="216"/>
        <w:jc w:val="both"/>
      </w:pPr>
      <w:r>
        <w:rPr>
          <w:rFonts w:ascii="Times New Roman" w:hAnsi="Times New Roman"/>
          <w:b w:val="0"/>
          <w:i w:val="0"/>
          <w:color w:val="000000"/>
          <w:sz w:val="15"/>
        </w:rPr>
        <w:t>[3] X. Li, X. Hou, F. Meng, H. Cui, and Y. Zhang, "Collaborative Relation Augmentation With Hierarchical Prescription Inference for Medication Recommendation," IEEE Journal of Biomedical and Health Informatics, vol. 30, no. 7, p. 5530, Jul. 2026.</w:t>
      </w:r>
    </w:p>
    <w:p>
      <w:pPr>
        <w:spacing w:after="20" w:line="235" w:lineRule="auto"/>
        <w:ind w:left="216" w:hanging="216"/>
        <w:jc w:val="both"/>
      </w:pPr>
      <w:r>
        <w:rPr>
          <w:rFonts w:ascii="Times New Roman" w:hAnsi="Times New Roman"/>
          <w:b w:val="0"/>
          <w:i w:val="0"/>
          <w:color w:val="000000"/>
          <w:sz w:val="15"/>
        </w:rPr>
        <w:t>[4] S. Pintawong et al., "Conformal Prediction for Uncertainty Quantification and Reliable HER2 Status Classification in Breast Cancer IHC Images," IEEE Access, 2025, doi: 10.1109/ACCESS.2025.3552934.</w:t>
      </w:r>
    </w:p>
    <w:p>
      <w:pPr>
        <w:spacing w:after="20" w:line="235" w:lineRule="auto"/>
        <w:ind w:left="216" w:hanging="216"/>
        <w:jc w:val="both"/>
      </w:pPr>
      <w:r>
        <w:rPr>
          <w:rFonts w:ascii="Times New Roman" w:hAnsi="Times New Roman"/>
          <w:b w:val="0"/>
          <w:i w:val="0"/>
          <w:color w:val="000000"/>
          <w:sz w:val="15"/>
        </w:rPr>
        <w:t>[5] I. N. Kundi, A. A. Sheikh, A. W. Malik, and G. A. Bhatti, "DDI-KGAT: A Graph Attention Network on Biomedical Knowledge Graph for the Prediction of Drug-Drug Interactions," IEEE Access, 2024, doi: 10.1109/ACCESS.2024.3483993.</w:t>
      </w:r>
    </w:p>
    <w:p>
      <w:pPr>
        <w:spacing w:after="20" w:line="235" w:lineRule="auto"/>
        <w:ind w:left="216" w:hanging="216"/>
        <w:jc w:val="both"/>
      </w:pPr>
      <w:r>
        <w:rPr>
          <w:rFonts w:ascii="Times New Roman" w:hAnsi="Times New Roman"/>
          <w:b w:val="0"/>
          <w:i w:val="0"/>
          <w:color w:val="000000"/>
          <w:sz w:val="15"/>
        </w:rPr>
        <w:t>[6] E. Daglarli, "Drug and Dosage Recommendation Based on Explainable Generative AI Using Patient-Specific Modeling," IEEE Access, 2026, doi: 10.1109/ACCESS.2026.3657398.</w:t>
      </w:r>
    </w:p>
    <w:p>
      <w:pPr>
        <w:spacing w:after="20" w:line="235" w:lineRule="auto"/>
        <w:ind w:left="216" w:hanging="216"/>
        <w:jc w:val="both"/>
      </w:pPr>
      <w:r>
        <w:rPr>
          <w:rFonts w:ascii="Times New Roman" w:hAnsi="Times New Roman"/>
          <w:b w:val="0"/>
          <w:i w:val="0"/>
          <w:color w:val="000000"/>
          <w:sz w:val="15"/>
        </w:rPr>
        <w:t>[7] Y. Meng, Y. Zhang, J. Shang, J. Tang, C. Li, Y. Zhang, H. Cui, R. Jin, Y. Xu, and F. Wang, "FusionMVSA: Multi-View Fusion Strategy With Self-Attention for Enhancing Drug Recommendation," IEEE Journal of Biomedical and Health Informatics, vol. 30, no. 2, Feb. 2026.</w:t>
      </w:r>
    </w:p>
    <w:p>
      <w:pPr>
        <w:spacing w:after="20" w:line="235" w:lineRule="auto"/>
        <w:ind w:left="216" w:hanging="216"/>
        <w:jc w:val="both"/>
      </w:pPr>
      <w:r>
        <w:rPr>
          <w:rFonts w:ascii="Times New Roman" w:hAnsi="Times New Roman"/>
          <w:b w:val="0"/>
          <w:i w:val="0"/>
          <w:color w:val="000000"/>
          <w:sz w:val="15"/>
        </w:rPr>
        <w:t>[8] Y. He, X. Dong, J. Lin, Y. Zheng, and Y. Hu, "Pretraining-Based Relevance-Aware Visit Similarity Network for Drug Recommendation," IEEE Journal of Biomedical and Health Informatics, vol. 30, no. 7, p. 5542, Jul. 2026.</w:t>
      </w:r>
    </w:p>
    <w:p>
      <w:pPr>
        <w:spacing w:after="20" w:line="235" w:lineRule="auto"/>
        <w:ind w:left="216" w:hanging="216"/>
        <w:jc w:val="both"/>
      </w:pPr>
      <w:r>
        <w:rPr>
          <w:rFonts w:ascii="Times New Roman" w:hAnsi="Times New Roman"/>
          <w:b w:val="0"/>
          <w:i w:val="0"/>
          <w:color w:val="000000"/>
          <w:sz w:val="15"/>
        </w:rPr>
        <w:t>[9] J. Zhang, Y. Zang, J. Chen, X. Yan, and J. Tang, "Revisiting Drug Recommendation From a Causal Perspective," IEEE Journal of Biomedical and Health Informatics, vol. 29, no. 2, p. 1525, Feb. 2025.</w:t>
      </w:r>
    </w:p>
    <w:p>
      <w:pPr>
        <w:spacing w:after="20" w:line="235" w:lineRule="auto"/>
        <w:ind w:left="216" w:hanging="216"/>
        <w:jc w:val="both"/>
      </w:pPr>
      <w:r>
        <w:rPr>
          <w:rFonts w:ascii="Times New Roman" w:hAnsi="Times New Roman"/>
          <w:b w:val="0"/>
          <w:i w:val="0"/>
          <w:color w:val="000000"/>
          <w:sz w:val="15"/>
        </w:rPr>
        <w:t>[10] J. Wu, Y. He, Y. Gao, J. Shang, and J. Feng, "Towards Smarter Clinical Predictions: Foundation Models for Integrating Multi-Source Domain Knowledge in EHRs," accepted author version, 2025, doi: 10.1109/JBHI.2025.3609064. [VERIFY final publication metadata.]</w:t>
      </w:r>
    </w:p>
    <w:p>
      <w:pPr>
        <w:spacing w:after="20" w:line="235" w:lineRule="auto"/>
        <w:ind w:left="216" w:hanging="216"/>
        <w:jc w:val="both"/>
      </w:pPr>
      <w:r>
        <w:rPr>
          <w:rFonts w:ascii="Times New Roman" w:hAnsi="Times New Roman"/>
          <w:b w:val="0"/>
          <w:i w:val="0"/>
          <w:color w:val="000000"/>
          <w:sz w:val="15"/>
        </w:rPr>
        <w:t>[11] J. Cheng, Y. Zhang, Y. Zhang, S. Ji, and X. Lu, "TransFOL: A Logical Query Model for Complex Relational Reasoning in Drug-Drug Interaction," IEEE Journal of Biomedical and Health Informatics, vol. 28, no. 8, p. 4975, Aug. 2024.</w:t>
      </w:r>
    </w:p>
    <w:sectPr w:rsidR="00FC693F" w:rsidRPr="0006063C" w:rsidSect="00034616">
      <w:type w:val="continuous"/>
      <w:footerReference w:type="default" r:id="rId9"/>
      <w:headerReference w:type="default" r:id="rId10"/>
      <w:pgSz w:w="12240" w:h="15840"/>
      <w:pgMar w:top="720" w:right="720" w:bottom="720" w:left="720" w:header="360" w:footer="360" w:gutter="0"/>
      <w:cols w:space="30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VitaNexus-RX IEEE Manuscript</dc:title>
  <dc:subject>IEEE-style conference manuscript</dc:subject>
  <dc:creator>Sravan Ramaraju</dc:creator>
  <cp:keywords/>
  <dc:description>generated by python-docx</dc:description>
  <cp:lastModifiedBy/>
  <cp:revision>1</cp:revision>
  <dcterms:created xsi:type="dcterms:W3CDTF">2013-12-23T23:15:00Z</dcterms:created>
  <dcterms:modified xsi:type="dcterms:W3CDTF">2013-12-23T23:15:00Z</dcterms:modified>
  <cp:category/>
</cp:coreProperties>
</file>