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40" w:line="240" w:lineRule="auto"/>
        <w:ind w:firstLine="202"/>
        <w:jc w:val="center"/>
      </w:pPr>
      <w:r>
        <w:rPr>
          <w:rFonts w:ascii="Times New Roman" w:hAnsi="Times New Roman"/>
          <w:b w:val="0"/>
          <w:i w:val="0"/>
          <w:color w:val="000000"/>
          <w:sz w:val="18"/>
        </w:rPr>
        <w:t>VitaNexus-RX: An Evidence-Bounded Clinical Decision Support System for Safety-Aware Same-Indication Alternative Recommendation</w:t>
      </w:r>
    </w:p>
    <w:p>
      <w:pPr>
        <w:keepNext/>
        <w:spacing w:after="40" w:line="240" w:lineRule="auto"/>
        <w:ind w:firstLine="202"/>
        <w:sectPr>
          <w:type w:val="continuous"/>
          <w:pgSz w:w="12240" w:h="15840"/>
          <w:pgMar w:top="720" w:right="720" w:bottom="720" w:left="720" w:header="360" w:footer="360" w:gutter="0"/>
          <w:cols w:num="1" w:space="0"/>
        </w:sectPr>
        <w:jc w:val="center"/>
      </w:pPr>
      <w:r>
        <w:rPr>
          <w:rFonts w:ascii="Times New Roman" w:hAnsi="Times New Roman"/>
          <w:b w:val="0"/>
          <w:i w:val="0"/>
          <w:color w:val="000000"/>
          <w:sz w:val="18"/>
        </w:rPr>
        <w:t>Sravan Ramaraju</w:t>
      </w:r>
    </w:p>
    <w:p>
      <w:pPr>
        <w:pageBreakBefore w:val="0"/>
        <w:spacing w:after="40" w:line="240" w:lineRule="auto"/>
        <w:ind w:firstLine="202"/>
        <w:jc w:val="both"/>
      </w:pPr>
      <w:r>
        <w:rPr>
          <w:rFonts w:ascii="Times New Roman" w:hAnsi="Times New Roman"/>
          <w:b w:val="0"/>
          <w:i w:val="0"/>
          <w:color w:val="000000"/>
          <w:sz w:val="18"/>
        </w:rPr>
        <w:t>Abstract—</w:t>
      </w:r>
      <w:r>
        <w:rPr>
          <w:rFonts w:ascii="Times New Roman" w:hAnsi="Times New Roman"/>
          <w:b w:val="0"/>
          <w:i w:val="0"/>
          <w:color w:val="000000"/>
          <w:sz w:val="18"/>
        </w:rPr>
        <w:t>VitaNexus-RX is an implemented clinical decision support system that combines source-based medication safety evidence with learned adverse-risk evidence to support review of same-indication candidate alternatives. The runtime evaluates candidate drug and active-medication pairs against DDInter, candidate drug and resolvable conditions against DrugCentral, and preserves a distinction between a completed lookup with no documented relationship and an unresolved or failed lookup. Its learned component is a calibrated LightGBM model whose task is to estimate whether a FAERS report in the represented context belongs to a serious-outcome class; it is not a patient-level adverse-event probability. Bootstrap variation and split conformal classification information are displayed as reliability information, while the conservative upper bootstrap bound participates in ranking. Candidates with a major DDI or high drug-disease restriction are excluded before scoring. Remaining fully evaluated candidates are ranked by a deterministic weighted combination of adjusted LightGBM risk, DDInter risk, and DrugCentral drug-disease risk. On an untouched 2026 holdout of 696,604 reports, the selected LightGBM operating point achieved AUROC 0.8177, AUPRC 0.8212, F1 0.7823, sensitivity 90.18%, specificity 54.04%, Brier score 0.1743, and ECE 0.0358. The manuscript documents the implemented scope, evidence contracts, evaluation artifact, and limitations; it does not claim clinical validation, prevention of adverse drug reactions, or patient-outcome prediction.</w:t>
      </w:r>
    </w:p>
    <w:p>
      <w:pPr>
        <w:spacing w:after="40" w:line="240" w:lineRule="auto"/>
        <w:ind w:firstLine="202"/>
        <w:jc w:val="both"/>
      </w:pPr>
      <w:r>
        <w:rPr>
          <w:rFonts w:ascii="Times New Roman" w:hAnsi="Times New Roman"/>
          <w:b w:val="0"/>
          <w:i w:val="0"/>
          <w:color w:val="000000"/>
          <w:sz w:val="18"/>
        </w:rPr>
        <w:t>Index Terms—</w:t>
      </w:r>
      <w:r>
        <w:rPr>
          <w:rFonts w:ascii="Times New Roman" w:hAnsi="Times New Roman"/>
          <w:b w:val="0"/>
          <w:i w:val="0"/>
          <w:color w:val="000000"/>
          <w:sz w:val="18"/>
        </w:rPr>
        <w:t>clinical decision support, drug-drug interaction, drug-disease interaction, LightGBM, conformal prediction, FAERS, medication recommendation.</w:t>
      </w:r>
    </w:p>
    <w:p>
      <w:pPr>
        <w:pStyle w:val="Heading1"/>
        <w:keepNext/>
        <w:spacing w:before="140" w:after="40"/>
        <w:ind w:firstLine="0"/>
        <w:jc w:val="left"/>
      </w:pPr>
      <w:r>
        <w:rPr>
          <w:rFonts w:ascii="Times New Roman" w:hAnsi="Times New Roman"/>
          <w:b/>
          <w:i w:val="0"/>
          <w:color w:val="00529B"/>
          <w:sz w:val="18"/>
        </w:rPr>
        <w:t>I. INTRODUCTION</w:t>
      </w:r>
    </w:p>
    <w:p>
      <w:pPr>
        <w:spacing w:after="40" w:line="240" w:lineRule="auto"/>
        <w:ind w:firstLine="202"/>
        <w:jc w:val="both"/>
      </w:pPr>
      <w:r>
        <w:rPr>
          <w:rFonts w:ascii="Times New Roman" w:hAnsi="Times New Roman"/>
          <w:b w:val="0"/>
          <w:i w:val="0"/>
          <w:color w:val="000000"/>
          <w:sz w:val="18"/>
        </w:rPr>
        <w:t>Medication recommendation systems must reconcile therapeutic relevance with evidence about drug-drug and drug-disease relationships. Prior work has explored message propagation and DDI-gated recommendation [1], graph-based DDI prediction [2], [5], and [11], visit- and relation-based medication recommendation [3], [7], [8], and [9], and patient-specific generative recommendation concepts [6]. These studies motivate the need to make the provenance and operational meaning of each evidence source explicit. They do not establish the performance or clinical validity of VitaNexus-RX.</w:t>
      </w:r>
    </w:p>
    <w:p>
      <w:pPr>
        <w:spacing w:after="40" w:line="240" w:lineRule="auto"/>
        <w:ind w:firstLine="202"/>
        <w:jc w:val="both"/>
      </w:pPr>
      <w:r>
        <w:rPr>
          <w:rFonts w:ascii="Times New Roman" w:hAnsi="Times New Roman"/>
          <w:b w:val="0"/>
          <w:i w:val="0"/>
          <w:color w:val="000000"/>
          <w:sz w:val="18"/>
        </w:rPr>
        <w:t>The design problem addressed here is an integration problem: a clinician-facing CDSS should preserve source evidence, avoid treating unresolved terms as safe, prevent high-severity source evidence from being hidden by a favorable learned score, and give a deterministic explanation for recommendation order. VitaNexus-RX implements that workflow. Its contribution is the integration of these controls in an executable system rather than a claim of a novel DDI model, a novel conformal method, or a clinically validated prescribing intervention.</w:t>
      </w:r>
    </w:p>
    <w:p>
      <w:pPr>
        <w:spacing w:after="40" w:line="240" w:lineRule="auto"/>
        <w:ind w:firstLine="202"/>
        <w:jc w:val="both"/>
      </w:pPr>
      <w:r>
        <w:rPr>
          <w:rFonts w:ascii="Times New Roman" w:hAnsi="Times New Roman"/>
          <w:b w:val="0"/>
          <w:i w:val="0"/>
          <w:color w:val="000000"/>
          <w:sz w:val="18"/>
        </w:rPr>
        <w:t>The system has a deliberately bounded interpretation. The LightGBM model estimates the probability that a FAERS adverse-event report represented by the runtime inputs belongs to the serious-outcome class. FAERS has no exposed-population denominator in this workflow, so this output cannot be interpreted as the probability that a particular patient will experience any adverse event, require hospitalization, or benefit from a candidate drug.</w:t>
      </w:r>
    </w:p>
    <w:p>
      <w:pPr>
        <w:pStyle w:val="Heading1"/>
        <w:keepNext/>
        <w:spacing w:before="140" w:after="40"/>
        <w:ind w:firstLine="0"/>
        <w:jc w:val="left"/>
      </w:pPr>
      <w:r>
        <w:rPr>
          <w:rFonts w:ascii="Times New Roman" w:hAnsi="Times New Roman"/>
          <w:b/>
          <w:i w:val="0"/>
          <w:color w:val="00529B"/>
          <w:sz w:val="18"/>
        </w:rPr>
        <w:t>II. SYSTEM SCOPE AND REQUIREMENTS</w:t>
      </w:r>
    </w:p>
    <w:p>
      <w:pPr>
        <w:spacing w:after="40" w:line="240" w:lineRule="auto"/>
        <w:ind w:firstLine="202"/>
        <w:jc w:val="both"/>
      </w:pPr>
      <w:r>
        <w:rPr>
          <w:rFonts w:ascii="Times New Roman" w:hAnsi="Times New Roman"/>
          <w:b w:val="0"/>
          <w:i w:val="0"/>
          <w:color w:val="000000"/>
          <w:sz w:val="18"/>
        </w:rPr>
        <w:t>The submitted consultation must contain a selected DrugCentral indication with identifier, source, dataset version, and normalized display text. The service verifies this provenance rather than accepting an arbitrary typed indication. The FAERS runtime vector contains age, sex, canonical candidate drug, selected indication, and active medicines. Conditions are evaluated through DrugCentral evidence. Allergy information is retained for clinician display only and is not an automated Drug-Allergy Interaction analysis, a LightGBM input, or a ranking factor in the current code.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267"/>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Component</w:t>
            </w:r>
          </w:p>
        </w:tc>
        <w:tc>
          <w:tcPr>
            <w:tcW w:type="dxa" w:w="2563"/>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Operational role</w:t>
            </w:r>
          </w:p>
        </w:tc>
        <w:tc>
          <w:tcPr>
            <w:tcW w:type="dxa" w:w="778"/>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Runtime status</w:t>
            </w:r>
          </w:p>
        </w:tc>
      </w:tr>
      <w:tr>
        <w:trPr>
          <w:cantSplit/>
        </w:trPr>
        <w:tc>
          <w:tcPr>
            <w:tcW w:type="dxa" w:w="1267"/>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Source provenance</w:t>
            </w:r>
          </w:p>
        </w:tc>
        <w:tc>
          <w:tcPr>
            <w:tcW w:type="dxa" w:w="2563"/>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Indication selection is validated against DrugCentral knowledge before consultation submission.</w:t>
            </w:r>
          </w:p>
        </w:tc>
        <w:tc>
          <w:tcPr>
            <w:tcW w:type="dxa" w:w="77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Implemented</w:t>
            </w:r>
          </w:p>
        </w:tc>
      </w:tr>
      <w:tr>
        <w:trPr>
          <w:cantSplit/>
        </w:trPr>
        <w:tc>
          <w:tcPr>
            <w:tcW w:type="dxa" w:w="1267"/>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DDI evidence</w:t>
            </w:r>
          </w:p>
        </w:tc>
        <w:tc>
          <w:tcPr>
            <w:tcW w:type="dxa" w:w="2563"/>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Every candidate × active medication pair is evaluated; the worst documented relationship is retained.</w:t>
            </w:r>
          </w:p>
        </w:tc>
        <w:tc>
          <w:tcPr>
            <w:tcW w:type="dxa" w:w="77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Implemented</w:t>
            </w:r>
          </w:p>
        </w:tc>
      </w:tr>
      <w:tr>
        <w:trPr>
          <w:cantSplit/>
        </w:trPr>
        <w:tc>
          <w:tcPr>
            <w:tcW w:type="dxa" w:w="1267"/>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Drug-disease evidence</w:t>
            </w:r>
          </w:p>
        </w:tc>
        <w:tc>
          <w:tcPr>
            <w:tcW w:type="dxa" w:w="2563"/>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Every candidate × resolvable condition is evaluated; the worst documented assessment is retained.</w:t>
            </w:r>
          </w:p>
        </w:tc>
        <w:tc>
          <w:tcPr>
            <w:tcW w:type="dxa" w:w="77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Implemented</w:t>
            </w:r>
          </w:p>
        </w:tc>
      </w:tr>
      <w:tr>
        <w:trPr>
          <w:cantSplit/>
        </w:trPr>
        <w:tc>
          <w:tcPr>
            <w:tcW w:type="dxa" w:w="1267"/>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Unresolved inputs</w:t>
            </w:r>
          </w:p>
        </w:tc>
        <w:tc>
          <w:tcPr>
            <w:tcW w:type="dxa" w:w="2563"/>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Lookup failure, ambiguous identifiers, or unresolved terms require clinical review; no low-risk value is inferred.</w:t>
            </w:r>
          </w:p>
        </w:tc>
        <w:tc>
          <w:tcPr>
            <w:tcW w:type="dxa" w:w="77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Implemented</w:t>
            </w:r>
          </w:p>
        </w:tc>
      </w:tr>
      <w:tr>
        <w:trPr>
          <w:cantSplit/>
        </w:trPr>
        <w:tc>
          <w:tcPr>
            <w:tcW w:type="dxa" w:w="1267"/>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Alternative generation</w:t>
            </w:r>
          </w:p>
        </w:tc>
        <w:tc>
          <w:tcPr>
            <w:tcW w:type="dxa" w:w="2563"/>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Candidates are selected from a same-indication DrugCentral relationship and the current candidate is excluded.</w:t>
            </w:r>
          </w:p>
        </w:tc>
        <w:tc>
          <w:tcPr>
            <w:tcW w:type="dxa" w:w="77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Integrated</w:t>
            </w:r>
          </w:p>
        </w:tc>
      </w:tr>
      <w:tr>
        <w:trPr>
          <w:cantSplit/>
        </w:trPr>
        <w:tc>
          <w:tcPr>
            <w:tcW w:type="dxa" w:w="1267"/>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Brand mapping</w:t>
            </w:r>
          </w:p>
        </w:tc>
        <w:tc>
          <w:tcPr>
            <w:tcW w:type="dxa" w:w="2563"/>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Indian brand mapping is presented after candidate generation as clinician-facing decision support.</w:t>
            </w:r>
          </w:p>
        </w:tc>
        <w:tc>
          <w:tcPr>
            <w:tcW w:type="dxa" w:w="77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Integrated</w:t>
            </w:r>
          </w:p>
        </w:tc>
      </w:tr>
    </w:tbl>
    <w:p>
      <w:pPr>
        <w:spacing w:before="40" w:after="80"/>
        <w:ind w:firstLine="0"/>
        <w:jc w:val="center"/>
      </w:pPr>
      <w:r>
        <w:rPr>
          <w:rFonts w:ascii="Times New Roman" w:hAnsi="Times New Roman"/>
          <w:b w:val="0"/>
          <w:i/>
          <w:color w:val="000000"/>
          <w:sz w:val="15"/>
        </w:rPr>
        <w:t>TABLE I. Runtime components and operational roles.</w:t>
      </w:r>
    </w:p>
    <w:p>
      <w:pPr>
        <w:pStyle w:val="Heading1"/>
        <w:keepNext/>
        <w:spacing w:before="140" w:after="40"/>
        <w:ind w:firstLine="0"/>
        <w:jc w:val="left"/>
      </w:pPr>
      <w:r>
        <w:rPr>
          <w:rFonts w:ascii="Times New Roman" w:hAnsi="Times New Roman"/>
          <w:b/>
          <w:i w:val="0"/>
          <w:color w:val="00529B"/>
          <w:sz w:val="18"/>
        </w:rPr>
        <w:t>III. ARCHITECTURE AND EXECUTION PIPELINE</w:t>
      </w:r>
    </w:p>
    <w:p>
      <w:pPr>
        <w:spacing w:after="40" w:line="240" w:lineRule="auto"/>
        <w:ind w:firstLine="202"/>
        <w:jc w:val="both"/>
      </w:pPr>
      <w:r>
        <w:rPr>
          <w:rFonts w:ascii="Times New Roman" w:hAnsi="Times New Roman"/>
          <w:b w:val="0"/>
          <w:i w:val="0"/>
          <w:color w:val="000000"/>
          <w:sz w:val="18"/>
        </w:rPr>
        <w:t>The runtime consists of a React/Vite interface, an Express API under /api/v1, PostgreSQL persistence through Prisma adapter-pg, DDInter and DrugCentral knowledge access, and an internal FastAPI service for machine-learning inference. The Python service loads protected artifacts once at startup. Express validates the inference response, propagates request identifiers, applies a bounded timeout, and persists result JSON. A missing or invalid machine-learning result is not converted into a low-risk result.</w:t>
      </w:r>
    </w:p>
    <w:tbl>
      <w:tblPr>
        <w:tblW w:type="auto" w:w="0"/>
        <w:jc w:val="center"/>
        <w:tblLayout w:type="fixed"/>
        <w:tblLook w:firstColumn="1" w:firstRow="1" w:lastColumn="0" w:lastRow="0" w:noHBand="0" w:noVBand="1" w:val="04A0"/>
      </w:tblPr>
      <w:tblGrid>
        <w:gridCol w:w="10166"/>
      </w:tblGrid>
      <w:tr>
        <w:trPr>
          <w:cantSplit/>
        </w:trPr>
        <w:tc>
          <w:tcPr>
            <w:tcW w:type="dxa" w:w="4392"/>
            <w:shd w:fill="00529B"/>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i w:val="0"/>
                <w:color w:val="FFFFFF"/>
                <w:sz w:val="15"/>
              </w:rPr>
              <w:t>Patient context and indication provenance</w:t>
            </w:r>
          </w:p>
        </w:tc>
      </w:tr>
      <w:tr>
        <w:trPr>
          <w:cantSplit/>
        </w:trPr>
        <w:tc>
          <w:tcPr>
            <w:tcW w:type="dxa" w:w="439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DDI and Drug-Disease evidence evaluation</w:t>
            </w:r>
          </w:p>
        </w:tc>
      </w:tr>
      <w:tr>
        <w:trPr>
          <w:cantSplit/>
        </w:trPr>
        <w:tc>
          <w:tcPr>
            <w:tcW w:type="dxa" w:w="4392"/>
            <w:shd w:fill="F2F5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Adverse-Risk Prediction and Conformal Prediction</w:t>
            </w:r>
          </w:p>
        </w:tc>
      </w:tr>
      <w:tr>
        <w:trPr>
          <w:cantSplit/>
        </w:trPr>
        <w:tc>
          <w:tcPr>
            <w:tcW w:type="dxa" w:w="439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Clinical-risk synthesis and same-indication alternatives</w:t>
            </w:r>
          </w:p>
        </w:tc>
      </w:tr>
      <w:tr>
        <w:trPr>
          <w:cantSplit/>
        </w:trPr>
        <w:tc>
          <w:tcPr>
            <w:tcW w:type="dxa" w:w="4392"/>
            <w:shd w:fill="F2F5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Reliability-aware ranking and Indian brand mapping</w:t>
            </w:r>
          </w:p>
        </w:tc>
      </w:tr>
      <w:tr>
        <w:trPr>
          <w:cantSplit/>
        </w:trPr>
        <w:tc>
          <w:tcPr>
            <w:tcW w:type="dxa" w:w="439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Explainable clinician-facing decision support</w:t>
            </w:r>
          </w:p>
        </w:tc>
      </w:tr>
    </w:tbl>
    <w:p>
      <w:pPr>
        <w:spacing w:before="40" w:after="80"/>
        <w:ind w:firstLine="0"/>
        <w:jc w:val="center"/>
      </w:pPr>
      <w:r>
        <w:rPr>
          <w:rFonts w:ascii="Times New Roman" w:hAnsi="Times New Roman"/>
          <w:b w:val="0"/>
          <w:i/>
          <w:color w:val="000000"/>
          <w:sz w:val="15"/>
        </w:rPr>
        <w:t>Fig. 1. Implemented VitaNexus-RX evidence and recommendation workflow.</w:t>
      </w:r>
    </w:p>
    <w:p>
      <w:pPr>
        <w:spacing w:after="40" w:line="240" w:lineRule="auto"/>
        <w:ind w:firstLine="202"/>
        <w:jc w:val="both"/>
      </w:pPr>
      <w:r>
        <w:rPr>
          <w:rFonts w:ascii="Times New Roman" w:hAnsi="Times New Roman"/>
          <w:b w:val="0"/>
          <w:i w:val="0"/>
          <w:color w:val="000000"/>
          <w:sz w:val="18"/>
        </w:rPr>
        <w:t>Clinical safety, Adverse-Risk Prediction, the supplementary event profile, recommendations, and follow-up are exposed as distinct workflow stages. Persisted ADR results contain the result JSON, model version, deterministic input hash, and timestamp. Recommendation snapshots include known evidence, candidate results, feature coverage, and model versions so a model or evidence change produces a new reproducible snapshot.</w:t>
      </w:r>
    </w:p>
    <w:p>
      <w:pPr>
        <w:pStyle w:val="Heading1"/>
        <w:keepNext/>
        <w:spacing w:before="140" w:after="40"/>
        <w:ind w:firstLine="0"/>
        <w:jc w:val="left"/>
      </w:pPr>
      <w:r>
        <w:rPr>
          <w:rFonts w:ascii="Times New Roman" w:hAnsi="Times New Roman"/>
          <w:b/>
          <w:i w:val="0"/>
          <w:color w:val="00529B"/>
          <w:sz w:val="18"/>
        </w:rPr>
        <w:t>IV. SOURCE BASED CLINICAL SAFETY ANALYSIS</w:t>
      </w:r>
    </w:p>
    <w:p>
      <w:pPr>
        <w:pStyle w:val="Heading2"/>
        <w:keepNext/>
        <w:spacing w:before="140" w:after="40"/>
        <w:ind w:firstLine="0"/>
        <w:jc w:val="left"/>
      </w:pPr>
      <w:r>
        <w:rPr>
          <w:rFonts w:ascii="Times New Roman" w:hAnsi="Times New Roman"/>
          <w:b/>
          <w:i w:val="0"/>
          <w:color w:val="00529B"/>
          <w:sz w:val="18"/>
        </w:rPr>
        <w:t>A. Drug Drug Interaction Analysis</w:t>
      </w:r>
    </w:p>
    <w:p>
      <w:pPr>
        <w:spacing w:after="40" w:line="240" w:lineRule="auto"/>
        <w:ind w:firstLine="202"/>
        <w:jc w:val="both"/>
      </w:pPr>
      <w:r>
        <w:rPr>
          <w:rFonts w:ascii="Times New Roman" w:hAnsi="Times New Roman"/>
          <w:b w:val="0"/>
          <w:i w:val="0"/>
          <w:color w:val="000000"/>
          <w:sz w:val="18"/>
        </w:rPr>
        <w:t>DDInter evaluation is tri-state. When both drugs are unambiguously resolved and DDInter contains a documented interaction, VitaNexus-RX uses the documented severity: MAJOR, MODERATE, or MINOR. When both drugs are resolved and a lookup completes without an interaction record, the result is NO DOCUMENTED INTERACTION. This is completed evidence, not a clinical-review state. When either identifier cannot be resolved, an identifier is ambiguous, required data are unavailable, or the lookup fails, the result is REQUIRES CLINICAL REVIEW. This state represents incomplete evidence and never means moderate risk.</w:t>
      </w:r>
    </w:p>
    <w:p>
      <w:pPr>
        <w:pStyle w:val="Heading2"/>
        <w:keepNext/>
        <w:spacing w:before="140" w:after="40"/>
        <w:ind w:firstLine="0"/>
        <w:jc w:val="left"/>
      </w:pPr>
      <w:r>
        <w:rPr>
          <w:rFonts w:ascii="Times New Roman" w:hAnsi="Times New Roman"/>
          <w:b/>
          <w:i w:val="0"/>
          <w:color w:val="00529B"/>
          <w:sz w:val="18"/>
        </w:rPr>
        <w:t>B. Drug Disease Interaction Analysis</w:t>
      </w:r>
    </w:p>
    <w:p>
      <w:pPr>
        <w:spacing w:after="40" w:line="240" w:lineRule="auto"/>
        <w:ind w:firstLine="202"/>
        <w:jc w:val="both"/>
      </w:pPr>
      <w:r>
        <w:rPr>
          <w:rFonts w:ascii="Times New Roman" w:hAnsi="Times New Roman"/>
          <w:b w:val="0"/>
          <w:i w:val="0"/>
          <w:color w:val="000000"/>
          <w:sz w:val="18"/>
        </w:rPr>
        <w:t>DrugCentral evaluation similarly distinguishes a documented relationship, no documented relationship after successful evaluation of all resolvable conditions, and incomplete evidence. A broad entered condition may fail unique resolution because multiple clinical identities can match the same phrase. In that case, the candidate is marked REQUIRES CLINICAL REVIEW rather than being assigned a favorable no-relationship result. This is a term-resolution limitation, not evidence that the candidate is harmful.</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368"/>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Source result</w:t>
            </w:r>
          </w:p>
        </w:tc>
        <w:tc>
          <w:tcPr>
            <w:tcW w:type="dxa" w:w="1224"/>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Operational meaning</w:t>
            </w:r>
          </w:p>
        </w:tc>
        <w:tc>
          <w:tcPr>
            <w:tcW w:type="dxa" w:w="2016"/>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Eligibility effect</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MAJOR / HIGH</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Documented severe source evidence.</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NOT RECOMMENDED before scoring.</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MODERATE</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Documented moderate source evidence.</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Eligible if all other essential evidence is complete.</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MINOR / LOW</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Documented lower-tier source evidence.</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Eligible if all other essential evidence is complete.</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NO DOCUMENTED INTERACTION / RELATIONSHIP</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Both required terms resolved and the completed source lookup had no record.</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Eligible; not proof of safety.</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REQUIRES CLINICAL REVIEW</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Unresolved, ambiguous, unavailable, or failed essential lookup.</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Not scored or ranked as safe.</w:t>
            </w:r>
          </w:p>
        </w:tc>
      </w:tr>
    </w:tbl>
    <w:p>
      <w:pPr>
        <w:spacing w:before="40" w:after="80"/>
        <w:ind w:firstLine="0"/>
        <w:jc w:val="center"/>
      </w:pPr>
      <w:r>
        <w:rPr>
          <w:rFonts w:ascii="Times New Roman" w:hAnsi="Times New Roman"/>
          <w:b w:val="0"/>
          <w:i/>
          <w:color w:val="000000"/>
          <w:sz w:val="15"/>
        </w:rPr>
        <w:t>TABLE II. Source evidence states used by the safety gate.</w:t>
      </w:r>
    </w:p>
    <w:p>
      <w:pPr>
        <w:pStyle w:val="Heading1"/>
        <w:keepNext/>
        <w:spacing w:before="140" w:after="40"/>
        <w:ind w:firstLine="0"/>
        <w:jc w:val="left"/>
      </w:pPr>
      <w:r>
        <w:rPr>
          <w:rFonts w:ascii="Times New Roman" w:hAnsi="Times New Roman"/>
          <w:b/>
          <w:i w:val="0"/>
          <w:color w:val="00529B"/>
          <w:sz w:val="18"/>
        </w:rPr>
        <w:t>V. ADVERSE RISK PREDICTION AND RELIABILITY INFORMATION</w:t>
      </w:r>
    </w:p>
    <w:p>
      <w:pPr>
        <w:spacing w:after="40" w:line="240" w:lineRule="auto"/>
        <w:ind w:firstLine="202"/>
        <w:jc w:val="both"/>
      </w:pPr>
      <w:r>
        <w:rPr>
          <w:rFonts w:ascii="Times New Roman" w:hAnsi="Times New Roman"/>
          <w:b w:val="0"/>
          <w:i w:val="0"/>
          <w:color w:val="000000"/>
          <w:sz w:val="18"/>
        </w:rPr>
        <w:t>The LightGBM component is calibrated with isotonic calibration. It returns a point estimate for the FAERS serious-outcome reporting task, a variation range over 20 configured bootstrap replicas, a conservative upper bootstrap bound used as adjusted ranking risk, and a split-conformal classification prediction set. The point probability, bootstrap range, and conformal set have separate meanings: the probability is the calibrated model output for the reporting target; the bootstrap range represents model variation under the configured resampling process; and the conformal output is a classification set rather than a confidence interval. Conformal prediction has been used in other application settings to express uncertainty and identify ambiguous cases [4], but the cited HER2 image study does not validate the VitaNexus-RX implementation or target.</w:t>
      </w:r>
    </w:p>
    <w:p>
      <w:pPr>
        <w:spacing w:after="40" w:line="240" w:lineRule="auto"/>
        <w:ind w:firstLine="202"/>
        <w:jc w:val="both"/>
      </w:pPr>
      <w:r>
        <w:rPr>
          <w:rFonts w:ascii="Times New Roman" w:hAnsi="Times New Roman"/>
          <w:b w:val="0"/>
          <w:i w:val="0"/>
          <w:color w:val="000000"/>
          <w:sz w:val="18"/>
        </w:rPr>
        <w:t>The 2025Q4 cohort was deterministically partitioned into nonoverlapping conformal and operating-threshold subsets. The selected threshold of 0.389 maximized specificity subject to sensitivity of at least 0.90 on calibrated probabilities. The untouched 2026 holdout was not used for threshold selection.</w:t>
      </w:r>
      <w:r/>
    </w:p>
    <w:p>
      <w:pPr>
        <w:spacing w:before="0" w:after="0"/>
      </w:pPr>
      <w:r>
        <w:br w:type="column"/>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368"/>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Metric</w:t>
            </w:r>
          </w:p>
        </w:tc>
        <w:tc>
          <w:tcPr>
            <w:tcW w:type="dxa" w:w="1224"/>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Untouched 2026 holdout</w:t>
            </w:r>
          </w:p>
        </w:tc>
        <w:tc>
          <w:tcPr>
            <w:tcW w:type="dxa" w:w="2016"/>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Interpretation</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Rows</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696,604</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Evaluation reports; not patient follow-up outcomes.</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AUROC</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0.8177</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Threshold-independent discrimination for the report target.</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AUPRC</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0.8212</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Precision-recall discrimination for the report target.</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F1</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0.7823</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Precision</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69.07%</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Sensitivity</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90.18%</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Specificity</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54.04%</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Accuracy / balanced accuracy</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73.28% / 72.11%</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Brier / ECE</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0.1743 / 0.0358</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Calibration-related measures.</w:t>
            </w:r>
          </w:p>
        </w:tc>
      </w:tr>
    </w:tbl>
    <w:p>
      <w:pPr>
        <w:spacing w:before="40" w:after="80"/>
        <w:ind w:firstLine="0"/>
        <w:jc w:val="center"/>
      </w:pPr>
      <w:r>
        <w:rPr>
          <w:rFonts w:ascii="Times New Roman" w:hAnsi="Times New Roman"/>
          <w:b w:val="0"/>
          <w:i/>
          <w:color w:val="000000"/>
          <w:sz w:val="15"/>
        </w:rPr>
        <w:t>TABLE III. Frozen selected-threshold performance from ml/reports/lightgbm_operating_threshold.json.</w:t>
      </w:r>
    </w:p>
    <w:p>
      <w:pPr>
        <w:spacing w:after="40" w:line="240" w:lineRule="auto"/>
        <w:ind w:firstLine="202"/>
        <w:jc w:val="both"/>
      </w:pPr>
      <w:r>
        <w:rPr>
          <w:rFonts w:ascii="Times New Roman" w:hAnsi="Times New Roman"/>
          <w:b w:val="0"/>
          <w:i w:val="0"/>
          <w:color w:val="000000"/>
          <w:sz w:val="18"/>
        </w:rPr>
        <w:t>Input coverage is protected. If sex, candidate drug, selected indication, or an active medicine is outside the trained vocabulary, the API returns OUT_OF_VOCABULARY and does not provide an overall percentage. The user interface presents input correction rather than silently treating the missing model result as zero risk.</w:t>
      </w:r>
    </w:p>
    <w:p>
      <w:pPr>
        <w:pStyle w:val="Heading1"/>
        <w:keepNext/>
        <w:spacing w:before="140" w:after="40"/>
        <w:ind w:firstLine="0"/>
        <w:jc w:val="left"/>
      </w:pPr>
      <w:r>
        <w:rPr>
          <w:rFonts w:ascii="Times New Roman" w:hAnsi="Times New Roman"/>
          <w:b/>
          <w:i w:val="0"/>
          <w:color w:val="00529B"/>
          <w:sz w:val="18"/>
        </w:rPr>
        <w:t>VI. SAME INDICATION ALTERNATIVE RECOMMENDATION</w:t>
      </w:r>
    </w:p>
    <w:p>
      <w:pPr>
        <w:spacing w:after="40" w:line="240" w:lineRule="auto"/>
        <w:ind w:firstLine="202"/>
        <w:jc w:val="both"/>
      </w:pPr>
      <w:r>
        <w:rPr>
          <w:rFonts w:ascii="Times New Roman" w:hAnsi="Times New Roman"/>
          <w:b w:val="0"/>
          <w:i w:val="0"/>
          <w:color w:val="000000"/>
          <w:sz w:val="18"/>
        </w:rPr>
        <w:t>Same-Indication Alternative Recommendation begins with DrugCentral candidates sharing the selected indication and excludes the current candidate. Candidate safety evidence is evaluated before machine-learning calls. A major DDInter interaction or high/serious DrugCentral drug-disease restriction produces NOT RECOMMENDED. If essential DDInter or DrugCentral evidence is incomplete, the candidate produces REQUIRES CLINICAL REVIEW. Only fully evaluated candidates proceed to LightGBM ranking.</w:t>
      </w:r>
    </w:p>
    <w:p>
      <w:pPr>
        <w:spacing w:after="40" w:line="240" w:lineRule="auto"/>
        <w:ind w:firstLine="202"/>
        <w:jc w:val="both"/>
      </w:pPr>
      <w:r>
        <w:rPr>
          <w:rFonts w:ascii="Times New Roman" w:hAnsi="Times New Roman"/>
          <w:b w:val="0"/>
          <w:i w:val="0"/>
          <w:color w:val="000000"/>
          <w:sz w:val="18"/>
        </w:rPr>
        <w:t>For an eligible candidate, the deterministic final risk score is 0.50 multiplied by uncertainty-adjusted LightGBM risk, plus 0.30 multiplied by DDInter risk, plus 0.20 multiplied by DrugCentral drug-disease risk. Lower values rank earlier. The implemented source-risk mapping is 0.10 for MINOR or LOW, 0.30 for a successful lookup with no documented relationship, 0.50 for MODERATE, and 0.90 for MAJOR or HIGH. Complete evidence is required before the formula is evaluated. Conformal information modifies LightGBM interpretation and has no independent ranking weight.</w:t>
      </w:r>
    </w:p>
    <w:p>
      <w:pPr>
        <w:spacing w:after="40" w:line="240" w:lineRule="auto"/>
        <w:ind w:firstLine="202"/>
        <w:jc w:val="both"/>
      </w:pPr>
      <w:r>
        <w:rPr>
          <w:rFonts w:ascii="Times New Roman" w:hAnsi="Times New Roman"/>
          <w:b w:val="0"/>
          <w:i w:val="0"/>
          <w:color w:val="000000"/>
          <w:sz w:val="18"/>
        </w:rPr>
        <w:t>This ordering should not be read as a clinical risk scale or as proof of therapeutic appropriateness. It is an explicit engineering policy for ordering fully evaluated candidate alternatives in the current prototype. Earlier medication-recommendation research has considered DDI gating [1], hierarchical prescription inference [3], multi-view fusion [7], visit similarity [8], and causal framing [9]. VitaNexus-RX does not claim to reproduce those architectures or their reported results.</w:t>
      </w:r>
    </w:p>
    <w:p>
      <w:pPr>
        <w:pStyle w:val="Heading1"/>
        <w:keepNext/>
        <w:spacing w:before="140" w:after="40"/>
        <w:ind w:firstLine="0"/>
        <w:jc w:val="left"/>
      </w:pPr>
      <w:r>
        <w:rPr>
          <w:rFonts w:ascii="Times New Roman" w:hAnsi="Times New Roman"/>
          <w:b/>
          <w:i w:val="0"/>
          <w:color w:val="00529B"/>
          <w:sz w:val="18"/>
        </w:rPr>
        <w:t>VII. SUPPLEMENTARY HGNN EVENT PROFILE</w:t>
      </w:r>
    </w:p>
    <w:p>
      <w:pPr>
        <w:spacing w:after="40" w:line="240" w:lineRule="auto"/>
        <w:ind w:firstLine="202"/>
        <w:jc w:val="both"/>
      </w:pPr>
      <w:r>
        <w:rPr>
          <w:rFonts w:ascii="Times New Roman" w:hAnsi="Times New Roman"/>
          <w:b w:val="0"/>
          <w:i w:val="0"/>
          <w:color w:val="000000"/>
          <w:sz w:val="18"/>
        </w:rPr>
        <w:t>The system also exposes a separate HGNN-derived specific-event profile. It loads a hash-verified epoch-20 selection checkpoint with an ordered 100-label vocabulary and returns deterministic top-K sigmoid model scores. The interface labels this component Baseline and Audit Pending. It is independent of LightGBM, does not alter DDInter or DrugCentral safety gates, does not alter candidate generation or ranking, and must not be interpreted as an individual event-incidence probability.</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368"/>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i w:val="0"/>
                <w:color w:val="FFFFFF"/>
                <w:sz w:val="13"/>
              </w:rPr>
              <w:t>Baseline evaluation quantity</w:t>
            </w:r>
          </w:p>
        </w:tc>
        <w:tc>
          <w:tcPr>
            <w:tcW w:type="dxa" w:w="1224"/>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Value</w:t>
            </w:r>
          </w:p>
        </w:tc>
        <w:tc>
          <w:tcPr>
            <w:tcW w:type="dxa" w:w="2016"/>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Scope</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Best epoch</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20</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Selection artifact.</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Micro-AUPRC</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0.156023</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Validation value in HGNN selection evaluation.</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Macro-AUPRC</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0.129541</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Validation value in HGNN selection evaluation.</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Micro-F1</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0.066962</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Validation value in HGNN selection evaluation.</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Micro precision / recall</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0.621854 / 0.035386</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Validation values in HGNN selection evaluation.</w:t>
            </w:r>
          </w:p>
        </w:tc>
      </w:tr>
    </w:tbl>
    <w:p>
      <w:pPr>
        <w:spacing w:before="40" w:after="80"/>
        <w:ind w:firstLine="0"/>
        <w:jc w:val="center"/>
      </w:pPr>
      <w:r>
        <w:rPr>
          <w:rFonts w:ascii="Times New Roman" w:hAnsi="Times New Roman"/>
          <w:b w:val="0"/>
          <w:i/>
          <w:color w:val="000000"/>
          <w:sz w:val="15"/>
        </w:rPr>
        <w:t>TABLE IV. Supplementary HGNN baseline selection metrics. These are not ranking metrics.</w:t>
      </w:r>
    </w:p>
    <w:p>
      <w:pPr>
        <w:spacing w:after="40" w:line="240" w:lineRule="auto"/>
        <w:ind w:firstLine="202"/>
        <w:jc w:val="both"/>
      </w:pPr>
      <w:r>
        <w:rPr>
          <w:rFonts w:ascii="Times New Roman" w:hAnsi="Times New Roman"/>
          <w:b w:val="0"/>
          <w:i w:val="0"/>
          <w:color w:val="000000"/>
          <w:sz w:val="18"/>
        </w:rPr>
        <w:t>Graph-based DDI and medication models in the supplied literature demonstrate that graph structure can support computational drug-relation or recommendation tasks [2], [5], and [11]. The current HGNN component is retained as a historical baseline display rather than the system recommendation engine.</w:t>
      </w:r>
    </w:p>
    <w:p>
      <w:pPr>
        <w:pStyle w:val="Heading1"/>
        <w:keepNext/>
        <w:spacing w:before="140" w:after="40"/>
        <w:ind w:firstLine="0"/>
        <w:jc w:val="left"/>
      </w:pPr>
      <w:r>
        <w:rPr>
          <w:rFonts w:ascii="Times New Roman" w:hAnsi="Times New Roman"/>
          <w:b/>
          <w:i w:val="0"/>
          <w:color w:val="00529B"/>
          <w:sz w:val="18"/>
        </w:rPr>
        <w:t>VIII. DISCUSSION AND LIMITATIONS</w:t>
      </w:r>
    </w:p>
    <w:p>
      <w:pPr>
        <w:spacing w:after="40" w:line="240" w:lineRule="auto"/>
        <w:ind w:firstLine="202"/>
        <w:jc w:val="both"/>
      </w:pPr>
      <w:r>
        <w:rPr>
          <w:rFonts w:ascii="Times New Roman" w:hAnsi="Times New Roman"/>
          <w:b w:val="0"/>
          <w:i w:val="0"/>
          <w:color w:val="000000"/>
          <w:sz w:val="18"/>
        </w:rPr>
        <w:t>The safety gate prevents a favorable learned value from overriding a major DDI or high drug-disease restriction. It also prevents a valid empty DDInter result from being incorrectly treated as unresolved. The latter distinction is material: no documented interaction means that a completed lookup did not return a record for the resolved pair; it does not prove safety. REQUIRES CLINICAL REVIEW instead means that essential evidence could not be completed with sufficient identifier certainty.</w:t>
      </w:r>
    </w:p>
    <w:p>
      <w:pPr>
        <w:spacing w:after="40" w:line="240" w:lineRule="auto"/>
        <w:ind w:firstLine="202"/>
        <w:jc w:val="both"/>
      </w:pPr>
      <w:r>
        <w:rPr>
          <w:rFonts w:ascii="Times New Roman" w:hAnsi="Times New Roman"/>
          <w:b w:val="0"/>
          <w:i w:val="0"/>
          <w:color w:val="000000"/>
          <w:sz w:val="18"/>
        </w:rPr>
        <w:t>Several limitations constrain interpretation. FAERS is a spontaneous-reporting source with reporting and selection bias and no exposed-population denominator in the runtime. The LightGBM task is therefore conditional on the learned report target. DrugCentral condition matching can be incomplete for broad, ambiguous, or noncanonical clinician-entered terms. The HGNN event profile requires independent calibration and audit. The current code does not automate Drug-Allergy Interaction analysis and does not perform online patient-feedback retraining. No clinical validation, prospective study, causal effect estimate, ADR-prevention claim, or regulatory claim is established by the available project artifacts.</w:t>
      </w:r>
    </w:p>
    <w:p>
      <w:pPr>
        <w:spacing w:after="40" w:line="240" w:lineRule="auto"/>
        <w:ind w:firstLine="202"/>
        <w:jc w:val="both"/>
      </w:pPr>
      <w:r>
        <w:rPr>
          <w:rFonts w:ascii="Times New Roman" w:hAnsi="Times New Roman"/>
        </w:rPr>
        <w:t>Future work should evaluate terminology-resolution strategies under clinical governance, externally validate the report-target model on an independently governed dataset, study ranking behavior prospectively without claiming treatment benefit, and determine whether a separately governed allergy-analysis branch is appropriate. These are future research directions, not implemented results.</w:t>
      </w:r>
    </w:p>
    <w:p>
      <w:pPr>
        <w:pStyle w:val="Heading1"/>
        <w:keepNext/>
        <w:spacing w:before="140" w:after="40"/>
        <w:ind w:firstLine="0"/>
        <w:jc w:val="left"/>
      </w:pPr>
      <w:r>
        <w:rPr>
          <w:rFonts w:ascii="Times New Roman" w:hAnsi="Times New Roman"/>
          <w:b/>
          <w:i w:val="0"/>
          <w:color w:val="00529B"/>
          <w:sz w:val="18"/>
        </w:rPr>
        <w:t>IX. CONCLUSION</w:t>
      </w:r>
    </w:p>
    <w:p>
      <w:pPr>
        <w:spacing w:after="40" w:line="240" w:lineRule="auto"/>
        <w:ind w:firstLine="202"/>
        <w:jc w:val="both"/>
      </w:pPr>
      <w:r>
        <w:rPr>
          <w:rFonts w:ascii="Times New Roman" w:hAnsi="Times New Roman"/>
          <w:b w:val="0"/>
          <w:i w:val="0"/>
          <w:color w:val="000000"/>
          <w:sz w:val="18"/>
        </w:rPr>
        <w:t>VitaNexus-RX implements a safety-aware, evidence-bounded CDSS workflow for Same-Indication Alternative Recommendation. It keeps documented source relationships, completed negative lookups, unresolved evidence, a FAERS serious-outcome report estimate, bootstrap variation, and Conformal Prediction information distinct. Its deterministic gate and ranking policy are reproducible from the current code and evaluation artifacts. The available evidence supports implementation and the stated report-target evaluation; it does not support patient-level adverse-event prediction or clinical-effect claims.</w:t>
      </w:r>
    </w:p>
    <w:p>
      <w:pPr>
        <w:pStyle w:val="Heading1"/>
        <w:keepNext/>
        <w:spacing w:before="140" w:after="40"/>
        <w:ind w:firstLine="0"/>
        <w:jc w:val="left"/>
      </w:pPr>
      <w:r>
        <w:rPr>
          <w:rFonts w:ascii="Times New Roman" w:hAnsi="Times New Roman"/>
          <w:b/>
          <w:i w:val="0"/>
          <w:color w:val="00529B"/>
          <w:sz w:val="18"/>
        </w:rPr>
        <w:t>REFERENCES</w:t>
      </w:r>
    </w:p>
    <w:p>
      <w:pPr>
        <w:spacing w:after="20" w:line="235" w:lineRule="auto"/>
        <w:ind w:left="216" w:hanging="216"/>
        <w:jc w:val="both"/>
      </w:pPr>
      <w:r>
        <w:rPr>
          <w:rFonts w:ascii="Times New Roman" w:hAnsi="Times New Roman"/>
          <w:b w:val="0"/>
          <w:i w:val="0"/>
          <w:color w:val="000000"/>
          <w:sz w:val="15"/>
        </w:rPr>
        <w:t>[1] Y. Ren, Y. Shi, K. Zhang, X. Wang, Z. Chen, and H. Li, "A Drug Recommendation Model Based on Message Propagation and DDI Gating Mechanism," IEEE Journal of Biomedical and Health Informatics, vol. 26, no. 7, p. 3478, Jul. 2022.</w:t>
      </w:r>
    </w:p>
    <w:p>
      <w:pPr>
        <w:spacing w:after="20" w:line="235" w:lineRule="auto"/>
        <w:ind w:left="216" w:hanging="216"/>
        <w:jc w:val="both"/>
      </w:pPr>
      <w:r>
        <w:rPr>
          <w:rFonts w:ascii="Times New Roman" w:hAnsi="Times New Roman"/>
          <w:b w:val="0"/>
          <w:i w:val="0"/>
          <w:color w:val="000000"/>
          <w:sz w:val="15"/>
        </w:rPr>
        <w:t>[2] T. Luo, T. Lin, C. Yang, L. Fan, and W. Wang, "A Drug-Drug Interaction Prediction Method Based on Atomic 3D Position Encoding and Elastic Message Passing Graph Neural Network," IEEE Journal of Biomedical and Health Informatics, vol. 29, no. 9, p. 6915, Sep. 2025.</w:t>
      </w:r>
    </w:p>
    <w:p>
      <w:pPr>
        <w:spacing w:after="20" w:line="235" w:lineRule="auto"/>
        <w:ind w:left="216" w:hanging="216"/>
        <w:jc w:val="both"/>
      </w:pPr>
      <w:r>
        <w:rPr>
          <w:rFonts w:ascii="Times New Roman" w:hAnsi="Times New Roman"/>
          <w:b w:val="0"/>
          <w:i w:val="0"/>
          <w:color w:val="000000"/>
          <w:sz w:val="15"/>
        </w:rPr>
        <w:t>[3] X. Li, X. Hou, F. Meng, H. Cui, and Y. Zhang, "Collaborative Relation Augmentation With Hierarchical Prescription Inference for Medication Recommendation," IEEE Journal of Biomedical and Health Informatics, vol. 30, no. 7, p. 5530, Jul. 2026.</w:t>
      </w:r>
    </w:p>
    <w:p>
      <w:pPr>
        <w:spacing w:after="20" w:line="235" w:lineRule="auto"/>
        <w:ind w:left="216" w:hanging="216"/>
        <w:jc w:val="both"/>
      </w:pPr>
      <w:r>
        <w:rPr>
          <w:rFonts w:ascii="Times New Roman" w:hAnsi="Times New Roman"/>
          <w:b w:val="0"/>
          <w:i w:val="0"/>
          <w:color w:val="000000"/>
          <w:sz w:val="15"/>
        </w:rPr>
        <w:t>[4] S. Pintawong et al., "Conformal Prediction for Uncertainty Quantification and Reliable HER2 Status Classification in Breast Cancer IHC Images," IEEE Access, 2025, doi: 10.1109/ACCESS.2025.3552934.</w:t>
      </w:r>
    </w:p>
    <w:p>
      <w:pPr>
        <w:spacing w:after="20" w:line="235" w:lineRule="auto"/>
        <w:ind w:left="216" w:hanging="216"/>
        <w:jc w:val="both"/>
      </w:pPr>
      <w:r>
        <w:rPr>
          <w:rFonts w:ascii="Times New Roman" w:hAnsi="Times New Roman"/>
          <w:b w:val="0"/>
          <w:i w:val="0"/>
          <w:color w:val="000000"/>
          <w:sz w:val="15"/>
        </w:rPr>
        <w:t>[5] I. N. Kundi, A. A. Sheikh, A. W. Malik, and G. A. Bhatti, "DDI-KGAT: A Graph Attention Network on Biomedical Knowledge Graph for the Prediction of Drug-Drug Interactions," IEEE Access, 2024, doi: 10.1109/ACCESS.2024.3483993.</w:t>
      </w:r>
    </w:p>
    <w:p>
      <w:pPr>
        <w:spacing w:after="20" w:line="235" w:lineRule="auto"/>
        <w:ind w:left="216" w:hanging="216"/>
        <w:jc w:val="both"/>
      </w:pPr>
      <w:r>
        <w:rPr>
          <w:rFonts w:ascii="Times New Roman" w:hAnsi="Times New Roman"/>
          <w:b w:val="0"/>
          <w:i w:val="0"/>
          <w:color w:val="000000"/>
          <w:sz w:val="15"/>
        </w:rPr>
        <w:t>[6] E. Daglarli, "Drug and Dosage Recommendation Based on Explainable Generative AI Using Patient-Specific Modeling," IEEE Access, 2026, doi: 10.1109/ACCESS.2026.3657398.</w:t>
      </w:r>
    </w:p>
    <w:p>
      <w:pPr>
        <w:spacing w:after="20" w:line="235" w:lineRule="auto"/>
        <w:ind w:left="216" w:hanging="216"/>
        <w:jc w:val="both"/>
      </w:pPr>
      <w:r>
        <w:rPr>
          <w:rFonts w:ascii="Times New Roman" w:hAnsi="Times New Roman"/>
          <w:b w:val="0"/>
          <w:i w:val="0"/>
          <w:color w:val="000000"/>
          <w:sz w:val="15"/>
        </w:rPr>
        <w:t>[7] Y. Meng, Y. Zhang, J. Shang, J. Tang, C. Li, Y. Zhang, H. Cui, R. Jin, Y. Xu, and F. Wang, "FusionMVSA: Multi-View Fusion Strategy With Self-Attention for Enhancing Drug Recommendation," IEEE Journal of Biomedical and Health Informatics, vol. 30, no. 2, Feb. 2026.</w:t>
      </w:r>
    </w:p>
    <w:p>
      <w:pPr>
        <w:spacing w:after="20" w:line="235" w:lineRule="auto"/>
        <w:ind w:left="216" w:hanging="216"/>
        <w:jc w:val="both"/>
      </w:pPr>
      <w:r>
        <w:rPr>
          <w:rFonts w:ascii="Times New Roman" w:hAnsi="Times New Roman"/>
          <w:b w:val="0"/>
          <w:i w:val="0"/>
          <w:color w:val="000000"/>
          <w:sz w:val="15"/>
        </w:rPr>
        <w:t>[8] Y. He, X. Dong, J. Lin, Y. Zheng, and Y. Hu, "Pretraining-Based Relevance-Aware Visit Similarity Network for Drug Recommendation," IEEE Journal of Biomedical and Health Informatics, vol. 30, no. 7, p. 5542, Jul. 2026.</w:t>
      </w:r>
    </w:p>
    <w:p>
      <w:pPr>
        <w:spacing w:after="20" w:line="235" w:lineRule="auto"/>
        <w:ind w:left="216" w:hanging="216"/>
        <w:jc w:val="both"/>
      </w:pPr>
      <w:r>
        <w:rPr>
          <w:rFonts w:ascii="Times New Roman" w:hAnsi="Times New Roman"/>
          <w:b w:val="0"/>
          <w:i w:val="0"/>
          <w:color w:val="000000"/>
          <w:sz w:val="15"/>
        </w:rPr>
        <w:t>[9] J. Zhang, Y. Zang, J. Chen, X. Yan, and J. Tang, "Revisiting Drug Recommendation From a Causal Perspective," IEEE Journal of Biomedical and Health Informatics, vol. 29, no. 2, p. 1525, Feb. 2025.</w:t>
      </w:r>
    </w:p>
    <w:p>
      <w:pPr>
        <w:spacing w:after="20" w:line="235" w:lineRule="auto"/>
        <w:ind w:left="216" w:hanging="216"/>
        <w:jc w:val="both"/>
      </w:pPr>
      <w:r>
        <w:rPr>
          <w:rFonts w:ascii="Times New Roman" w:hAnsi="Times New Roman"/>
          <w:b w:val="0"/>
          <w:i w:val="0"/>
          <w:color w:val="000000"/>
          <w:sz w:val="15"/>
        </w:rPr>
        <w:t>[10] J. Wu, Y. He, Y. Gao, J. Shang, and J. Feng, "Towards Smarter Clinical Predictions: Foundation Models for Integrating Multi-Source Domain Knowledge in EHRs," accepted author version, 2025, doi: 10.1109/JBHI.2025.3609064. [VERIFY final publication metadata.]</w:t>
      </w:r>
    </w:p>
    <w:p>
      <w:pPr>
        <w:spacing w:after="20" w:line="235" w:lineRule="auto"/>
        <w:ind w:left="216" w:hanging="216"/>
        <w:jc w:val="both"/>
      </w:pPr>
      <w:r>
        <w:rPr>
          <w:rFonts w:ascii="Times New Roman" w:hAnsi="Times New Roman"/>
          <w:b w:val="0"/>
          <w:i w:val="0"/>
          <w:color w:val="000000"/>
          <w:sz w:val="15"/>
        </w:rPr>
        <w:t>[11] J. Cheng, Y. Zhang, Y. Zhang, S. Ji, and X. Lu, "TransFOL: A Logical Query Model for Complex Relational Reasoning in Drug-Drug Interaction," IEEE Journal of Biomedical and Health Informatics, vol. 28, no. 8, p. 4975, Aug. 2024.</w:t>
      </w:r>
    </w:p>
    <w:sectPr w:rsidR="00FC693F" w:rsidRPr="0006063C" w:rsidSect="00034616">
      <w:type w:val="continuous"/>
      <w:footerReference w:type="default" r:id="rId9"/>
      <w:headerReference w:type="default" r:id="rId10"/>
      <w:pgSz w:w="12240" w:h="15840"/>
      <w:pgMar w:top="720" w:right="720" w:bottom="720" w:left="720" w:header="360" w:footer="360"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VitaNexus-RX IEEE Manuscript</dc:title>
  <dc:subject>IEEE-style conference manuscript</dc:subject>
  <dc:creator>Sravan Ramaraju</dc:creator>
  <cp:keywords/>
  <dc:description>generated by python-docx</dc:description>
  <cp:lastModifiedBy/>
  <cp:revision>1</cp:revision>
  <dcterms:created xsi:type="dcterms:W3CDTF">2013-12-23T23:15:00Z</dcterms:created>
  <dcterms:modified xsi:type="dcterms:W3CDTF">2013-12-23T23:15:00Z</dcterms:modified>
  <cp:category/>
</cp:coreProperties>
</file>