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80"/>
        <w:jc w:val="center"/>
      </w:pPr>
      <w:r>
        <w:rPr>
          <w:b/>
          <w:sz w:val="28"/>
        </w:rPr>
        <w:t>Project Design Phase-II</w:t>
      </w:r>
    </w:p>
    <w:p>
      <w:pPr>
        <w:spacing w:before="40" w:after="80"/>
        <w:jc w:val="center"/>
      </w:pPr>
      <w:r>
        <w:rPr>
          <w:b/>
          <w:sz w:val="25"/>
        </w:rPr>
        <w:t>Solution Requirements (Functional &amp; Non-functional)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pPr>
              <w:spacing w:before="40" w:after="80"/>
            </w:pPr>
            <w:r>
              <w:rPr>
                <w:b/>
              </w:rPr>
              <w:t>Date</w:t>
            </w:r>
          </w:p>
        </w:tc>
        <w:tc>
          <w:tcPr>
            <w:tcW w:type="dxa" w:w="5256"/>
          </w:tcPr>
          <w:p>
            <w:pPr>
              <w:spacing w:before="40" w:after="80"/>
            </w:pPr>
            <w:r>
              <w:t>31 July 2026</w:t>
            </w:r>
          </w:p>
        </w:tc>
      </w:tr>
      <w:tr>
        <w:tc>
          <w:tcPr>
            <w:tcW w:type="dxa" w:w="5256"/>
          </w:tcPr>
          <w:p>
            <w:pPr>
              <w:spacing w:before="40" w:after="80"/>
            </w:pPr>
            <w:r>
              <w:rPr>
                <w:b/>
              </w:rPr>
              <w:t>Team ID</w:t>
            </w:r>
          </w:p>
        </w:tc>
        <w:tc>
          <w:tcPr>
            <w:tcW w:type="dxa" w:w="5256"/>
          </w:tcPr>
          <w:p>
            <w:pPr>
              <w:spacing w:before="40" w:after="80"/>
            </w:pPr>
            <w:r>
              <w:t>Team 1</w:t>
            </w:r>
          </w:p>
        </w:tc>
      </w:tr>
      <w:tr>
        <w:tc>
          <w:tcPr>
            <w:tcW w:type="dxa" w:w="5256"/>
          </w:tcPr>
          <w:p>
            <w:pPr>
              <w:spacing w:before="40" w:after="80"/>
            </w:pPr>
            <w:r>
              <w:rPr>
                <w:b/>
              </w:rPr>
              <w:t>Project Name</w:t>
            </w:r>
          </w:p>
        </w:tc>
        <w:tc>
          <w:tcPr>
            <w:tcW w:type="dxa" w:w="5256"/>
          </w:tcPr>
          <w:p>
            <w:pPr>
              <w:spacing w:before="40" w:after="80"/>
            </w:pPr>
            <w:r>
              <w:t>Employee Software Installation Request through Service Catalog</w:t>
            </w:r>
          </w:p>
        </w:tc>
      </w:tr>
      <w:tr>
        <w:tc>
          <w:tcPr>
            <w:tcW w:type="dxa" w:w="5256"/>
          </w:tcPr>
          <w:p>
            <w:pPr>
              <w:spacing w:before="40" w:after="80"/>
            </w:pPr>
            <w:r>
              <w:rPr>
                <w:b/>
              </w:rPr>
              <w:t>Maximum Marks</w:t>
            </w:r>
          </w:p>
        </w:tc>
        <w:tc>
          <w:tcPr>
            <w:tcW w:type="dxa" w:w="5256"/>
          </w:tcPr>
          <w:p>
            <w:pPr>
              <w:spacing w:before="40" w:after="80"/>
            </w:pPr>
            <w:r>
              <w:t>4 Marks</w:t>
            </w:r>
          </w:p>
        </w:tc>
      </w:tr>
    </w:tbl>
    <w:p>
      <w:pPr>
        <w:spacing w:before="40" w:after="80"/>
      </w:pPr>
    </w:p>
    <w:p>
      <w:pPr>
        <w:spacing w:before="40" w:after="80"/>
      </w:pPr>
      <w:r>
        <w:rPr>
          <w:b/>
          <w:sz w:val="23"/>
        </w:rPr>
        <w:t>Functional Requirements:</w:t>
      </w:r>
    </w:p>
    <w:p>
      <w:pPr>
        <w:spacing w:before="40" w:after="80"/>
      </w:pPr>
      <w:r>
        <w:rPr>
          <w:sz w:val="19"/>
        </w:rPr>
        <w:t>Following are the functional requirements of the proposed solution.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  <w:shd w:val="clear" w:color="auto" w:fill="1F4E78"/>
          </w:tcPr>
          <w:p>
            <w:pPr>
              <w:spacing w:before="20" w:after="20"/>
            </w:pPr>
            <w:r>
              <w:rPr>
                <w:b/>
                <w:color w:val="FFFFFF"/>
                <w:sz w:val="17"/>
              </w:rPr>
              <w:t>FR No.</w:t>
            </w:r>
          </w:p>
        </w:tc>
        <w:tc>
          <w:tcPr>
            <w:tcW w:type="dxa" w:w="3504"/>
            <w:shd w:val="clear" w:color="auto" w:fill="1F4E78"/>
          </w:tcPr>
          <w:p>
            <w:pPr>
              <w:spacing w:before="20" w:after="20"/>
            </w:pPr>
            <w:r>
              <w:rPr>
                <w:b/>
                <w:color w:val="FFFFFF"/>
                <w:sz w:val="17"/>
              </w:rPr>
              <w:t>Functional Requirement (Epic)</w:t>
            </w:r>
          </w:p>
        </w:tc>
        <w:tc>
          <w:tcPr>
            <w:tcW w:type="dxa" w:w="3504"/>
            <w:shd w:val="clear" w:color="auto" w:fill="1F4E78"/>
          </w:tcPr>
          <w:p>
            <w:pPr>
              <w:spacing w:before="20" w:after="20"/>
            </w:pPr>
            <w:r>
              <w:rPr>
                <w:b/>
                <w:color w:val="FFFFFF"/>
                <w:sz w:val="17"/>
              </w:rPr>
              <w:t>Sub Requirement (Story / Sub-Task)</w:t>
            </w:r>
          </w:p>
        </w:tc>
      </w:tr>
      <w:tr>
        <w:tc>
          <w:tcPr>
            <w:tcW w:type="dxa" w:w="3504"/>
          </w:tcPr>
          <w:p>
            <w:pPr>
              <w:spacing w:before="20" w:after="20"/>
            </w:pPr>
            <w:r>
              <w:rPr>
                <w:sz w:val="16"/>
              </w:rPr>
              <w:t>FR-1</w:t>
            </w:r>
          </w:p>
        </w:tc>
        <w:tc>
          <w:tcPr>
            <w:tcW w:type="dxa" w:w="3504"/>
          </w:tcPr>
          <w:p>
            <w:pPr>
              <w:spacing w:before="20" w:after="20"/>
            </w:pPr>
            <w:r>
              <w:rPr>
                <w:sz w:val="16"/>
              </w:rPr>
              <w:t>Software Request Submission</w:t>
            </w:r>
          </w:p>
        </w:tc>
        <w:tc>
          <w:tcPr>
            <w:tcW w:type="dxa" w:w="3504"/>
          </w:tcPr>
          <w:p>
            <w:pPr>
              <w:spacing w:before="20" w:after="20"/>
            </w:pPr>
            <w:r>
              <w:rPr>
                <w:sz w:val="16"/>
              </w:rPr>
              <w:t>Submit via Service Catalog form</w:t>
              <w:br/>
              <w:t>Capture business justification</w:t>
              <w:br/>
              <w:t>Select installation device &amp; license type</w:t>
            </w:r>
          </w:p>
        </w:tc>
      </w:tr>
      <w:tr>
        <w:tc>
          <w:tcPr>
            <w:tcW w:type="dxa" w:w="3504"/>
          </w:tcPr>
          <w:p>
            <w:pPr>
              <w:spacing w:before="20" w:after="20"/>
            </w:pPr>
            <w:r>
              <w:rPr>
                <w:sz w:val="16"/>
              </w:rPr>
              <w:t>FR-2</w:t>
            </w:r>
          </w:p>
        </w:tc>
        <w:tc>
          <w:tcPr>
            <w:tcW w:type="dxa" w:w="3504"/>
          </w:tcPr>
          <w:p>
            <w:pPr>
              <w:spacing w:before="20" w:after="20"/>
            </w:pPr>
            <w:r>
              <w:rPr>
                <w:sz w:val="16"/>
              </w:rPr>
              <w:t>Approval Routing</w:t>
            </w:r>
          </w:p>
        </w:tc>
        <w:tc>
          <w:tcPr>
            <w:tcW w:type="dxa" w:w="3504"/>
          </w:tcPr>
          <w:p>
            <w:pPr>
              <w:spacing w:before="20" w:after="20"/>
            </w:pPr>
            <w:r>
              <w:rPr>
                <w:sz w:val="16"/>
              </w:rPr>
              <w:t>Auto-route to requester's Manager</w:t>
              <w:br/>
              <w:t>Manager approves/rejects via My Approvals</w:t>
            </w:r>
          </w:p>
        </w:tc>
      </w:tr>
      <w:tr>
        <w:tc>
          <w:tcPr>
            <w:tcW w:type="dxa" w:w="3504"/>
          </w:tcPr>
          <w:p>
            <w:pPr>
              <w:spacing w:before="20" w:after="20"/>
            </w:pPr>
            <w:r>
              <w:rPr>
                <w:sz w:val="16"/>
              </w:rPr>
              <w:t>FR-3</w:t>
            </w:r>
          </w:p>
        </w:tc>
        <w:tc>
          <w:tcPr>
            <w:tcW w:type="dxa" w:w="3504"/>
          </w:tcPr>
          <w:p>
            <w:pPr>
              <w:spacing w:before="20" w:after="20"/>
            </w:pPr>
            <w:r>
              <w:rPr>
                <w:sz w:val="16"/>
              </w:rPr>
              <w:t>Fulfillment</w:t>
            </w:r>
          </w:p>
        </w:tc>
        <w:tc>
          <w:tcPr>
            <w:tcW w:type="dxa" w:w="3504"/>
          </w:tcPr>
          <w:p>
            <w:pPr>
              <w:spacing w:before="20" w:after="20"/>
            </w:pPr>
            <w:r>
              <w:rPr>
                <w:sz w:val="16"/>
              </w:rPr>
              <w:t>Auto-create Catalog Task on approval</w:t>
              <w:br/>
              <w:t>Assign task to Network/Software Support team</w:t>
            </w:r>
          </w:p>
        </w:tc>
      </w:tr>
      <w:tr>
        <w:tc>
          <w:tcPr>
            <w:tcW w:type="dxa" w:w="3504"/>
          </w:tcPr>
          <w:p>
            <w:pPr>
              <w:spacing w:before="20" w:after="20"/>
            </w:pPr>
            <w:r>
              <w:rPr>
                <w:sz w:val="16"/>
              </w:rPr>
              <w:t>FR-4</w:t>
            </w:r>
          </w:p>
        </w:tc>
        <w:tc>
          <w:tcPr>
            <w:tcW w:type="dxa" w:w="3504"/>
          </w:tcPr>
          <w:p>
            <w:pPr>
              <w:spacing w:before="20" w:after="20"/>
            </w:pPr>
            <w:r>
              <w:rPr>
                <w:sz w:val="16"/>
              </w:rPr>
              <w:t>Escalation</w:t>
            </w:r>
          </w:p>
        </w:tc>
        <w:tc>
          <w:tcPr>
            <w:tcW w:type="dxa" w:w="3504"/>
          </w:tcPr>
          <w:p>
            <w:pPr>
              <w:spacing w:before="20" w:after="20"/>
            </w:pPr>
            <w:r>
              <w:rPr>
                <w:sz w:val="16"/>
              </w:rPr>
              <w:t>Auto-create Incident on license shortage</w:t>
              <w:br/>
              <w:t>Assign Incident to Software Support group</w:t>
            </w:r>
          </w:p>
        </w:tc>
      </w:tr>
      <w:tr>
        <w:tc>
          <w:tcPr>
            <w:tcW w:type="dxa" w:w="3504"/>
          </w:tcPr>
          <w:p>
            <w:pPr>
              <w:spacing w:before="20" w:after="20"/>
            </w:pPr>
            <w:r>
              <w:rPr>
                <w:sz w:val="16"/>
              </w:rPr>
              <w:t>FR-5</w:t>
            </w:r>
          </w:p>
        </w:tc>
        <w:tc>
          <w:tcPr>
            <w:tcW w:type="dxa" w:w="3504"/>
          </w:tcPr>
          <w:p>
            <w:pPr>
              <w:spacing w:before="20" w:after="20"/>
            </w:pPr>
            <w:r>
              <w:rPr>
                <w:sz w:val="16"/>
              </w:rPr>
              <w:t>Notifications</w:t>
            </w:r>
          </w:p>
        </w:tc>
        <w:tc>
          <w:tcPr>
            <w:tcW w:type="dxa" w:w="3504"/>
          </w:tcPr>
          <w:p>
            <w:pPr>
              <w:spacing w:before="20" w:after="20"/>
            </w:pPr>
            <w:r>
              <w:rPr>
                <w:sz w:val="16"/>
              </w:rPr>
              <w:t>Email employee on approval</w:t>
              <w:br/>
              <w:t>Email employee on rejection with reason</w:t>
            </w:r>
          </w:p>
        </w:tc>
      </w:tr>
      <w:tr>
        <w:tc>
          <w:tcPr>
            <w:tcW w:type="dxa" w:w="3504"/>
          </w:tcPr>
          <w:p>
            <w:pPr>
              <w:spacing w:before="20" w:after="20"/>
            </w:pPr>
            <w:r>
              <w:rPr>
                <w:sz w:val="16"/>
              </w:rPr>
              <w:t>FR-6</w:t>
            </w:r>
          </w:p>
        </w:tc>
        <w:tc>
          <w:tcPr>
            <w:tcW w:type="dxa" w:w="3504"/>
          </w:tcPr>
          <w:p>
            <w:pPr>
              <w:spacing w:before="20" w:after="20"/>
            </w:pPr>
            <w:r>
              <w:rPr>
                <w:sz w:val="16"/>
              </w:rPr>
              <w:t>Status Tracking</w:t>
            </w:r>
          </w:p>
        </w:tc>
        <w:tc>
          <w:tcPr>
            <w:tcW w:type="dxa" w:w="3504"/>
          </w:tcPr>
          <w:p>
            <w:pPr>
              <w:spacing w:before="20" w:after="20"/>
            </w:pPr>
            <w:r>
              <w:rPr>
                <w:sz w:val="16"/>
              </w:rPr>
              <w:t>View request status via My Requests</w:t>
              <w:br/>
              <w:t>Status reflects Requested/Approved/Rejected/Closed</w:t>
            </w:r>
          </w:p>
        </w:tc>
      </w:tr>
    </w:tbl>
    <w:p>
      <w:pPr>
        <w:spacing w:before="40" w:after="80"/>
      </w:pPr>
      <w:r>
        <w:rPr>
          <w:b/>
          <w:sz w:val="23"/>
        </w:rPr>
        <w:t>Non-functional Requirements:</w:t>
      </w:r>
    </w:p>
    <w:p>
      <w:pPr>
        <w:spacing w:before="40" w:after="80"/>
      </w:pPr>
      <w:r>
        <w:rPr>
          <w:sz w:val="19"/>
        </w:rPr>
        <w:t>Following are the non-functional requirements of the proposed solution.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  <w:shd w:val="clear" w:color="auto" w:fill="1F4E78"/>
          </w:tcPr>
          <w:p>
            <w:pPr>
              <w:spacing w:before="20" w:after="20"/>
            </w:pPr>
            <w:r>
              <w:rPr>
                <w:b/>
                <w:color w:val="FFFFFF"/>
                <w:sz w:val="17"/>
              </w:rPr>
              <w:t>FR No.</w:t>
            </w:r>
          </w:p>
        </w:tc>
        <w:tc>
          <w:tcPr>
            <w:tcW w:type="dxa" w:w="3504"/>
            <w:shd w:val="clear" w:color="auto" w:fill="1F4E78"/>
          </w:tcPr>
          <w:p>
            <w:pPr>
              <w:spacing w:before="20" w:after="20"/>
            </w:pPr>
            <w:r>
              <w:rPr>
                <w:b/>
                <w:color w:val="FFFFFF"/>
                <w:sz w:val="17"/>
              </w:rPr>
              <w:t>Non-Functional Requirement</w:t>
            </w:r>
          </w:p>
        </w:tc>
        <w:tc>
          <w:tcPr>
            <w:tcW w:type="dxa" w:w="3504"/>
            <w:shd w:val="clear" w:color="auto" w:fill="1F4E78"/>
          </w:tcPr>
          <w:p>
            <w:pPr>
              <w:spacing w:before="20" w:after="20"/>
            </w:pPr>
            <w:r>
              <w:rPr>
                <w:b/>
                <w:color w:val="FFFFFF"/>
                <w:sz w:val="17"/>
              </w:rPr>
              <w:t>Description</w:t>
            </w:r>
          </w:p>
        </w:tc>
      </w:tr>
      <w:tr>
        <w:tc>
          <w:tcPr>
            <w:tcW w:type="dxa" w:w="3504"/>
          </w:tcPr>
          <w:p>
            <w:pPr>
              <w:spacing w:before="20" w:after="20"/>
            </w:pPr>
            <w:r>
              <w:rPr>
                <w:sz w:val="16"/>
              </w:rPr>
              <w:t>NFR-1</w:t>
            </w:r>
          </w:p>
        </w:tc>
        <w:tc>
          <w:tcPr>
            <w:tcW w:type="dxa" w:w="3504"/>
          </w:tcPr>
          <w:p>
            <w:pPr>
              <w:spacing w:before="20" w:after="20"/>
            </w:pPr>
            <w:r>
              <w:rPr>
                <w:sz w:val="16"/>
              </w:rPr>
              <w:t>Usability</w:t>
            </w:r>
          </w:p>
        </w:tc>
        <w:tc>
          <w:tcPr>
            <w:tcW w:type="dxa" w:w="3504"/>
          </w:tcPr>
          <w:p>
            <w:pPr>
              <w:spacing w:before="20" w:after="20"/>
            </w:pPr>
            <w:r>
              <w:rPr>
                <w:sz w:val="16"/>
              </w:rPr>
              <w:t>Request form completable by a non-technical employee in under 2 minutes</w:t>
            </w:r>
          </w:p>
        </w:tc>
      </w:tr>
      <w:tr>
        <w:tc>
          <w:tcPr>
            <w:tcW w:type="dxa" w:w="3504"/>
          </w:tcPr>
          <w:p>
            <w:pPr>
              <w:spacing w:before="20" w:after="20"/>
            </w:pPr>
            <w:r>
              <w:rPr>
                <w:sz w:val="16"/>
              </w:rPr>
              <w:t>NFR-2</w:t>
            </w:r>
          </w:p>
        </w:tc>
        <w:tc>
          <w:tcPr>
            <w:tcW w:type="dxa" w:w="3504"/>
          </w:tcPr>
          <w:p>
            <w:pPr>
              <w:spacing w:before="20" w:after="20"/>
            </w:pPr>
            <w:r>
              <w:rPr>
                <w:sz w:val="16"/>
              </w:rPr>
              <w:t>Security</w:t>
            </w:r>
          </w:p>
        </w:tc>
        <w:tc>
          <w:tcPr>
            <w:tcW w:type="dxa" w:w="3504"/>
          </w:tcPr>
          <w:p>
            <w:pPr>
              <w:spacing w:before="20" w:after="20"/>
            </w:pPr>
            <w:r>
              <w:rPr>
                <w:sz w:val="16"/>
              </w:rPr>
              <w:t>Only the assigned manager can approve/reject a given request; role/ACL-based access control</w:t>
            </w:r>
          </w:p>
        </w:tc>
      </w:tr>
      <w:tr>
        <w:tc>
          <w:tcPr>
            <w:tcW w:type="dxa" w:w="3504"/>
          </w:tcPr>
          <w:p>
            <w:pPr>
              <w:spacing w:before="20" w:after="20"/>
            </w:pPr>
            <w:r>
              <w:rPr>
                <w:sz w:val="16"/>
              </w:rPr>
              <w:t>NFR-3</w:t>
            </w:r>
          </w:p>
        </w:tc>
        <w:tc>
          <w:tcPr>
            <w:tcW w:type="dxa" w:w="3504"/>
          </w:tcPr>
          <w:p>
            <w:pPr>
              <w:spacing w:before="20" w:after="20"/>
            </w:pPr>
            <w:r>
              <w:rPr>
                <w:sz w:val="16"/>
              </w:rPr>
              <w:t>Reliability</w:t>
            </w:r>
          </w:p>
        </w:tc>
        <w:tc>
          <w:tcPr>
            <w:tcW w:type="dxa" w:w="3504"/>
          </w:tcPr>
          <w:p>
            <w:pPr>
              <w:spacing w:before="20" w:after="20"/>
            </w:pPr>
            <w:r>
              <w:rPr>
                <w:sz w:val="16"/>
              </w:rPr>
              <w:t>Every submitted request must reach an approver with no silent failures</w:t>
            </w:r>
          </w:p>
        </w:tc>
      </w:tr>
      <w:tr>
        <w:tc>
          <w:tcPr>
            <w:tcW w:type="dxa" w:w="3504"/>
          </w:tcPr>
          <w:p>
            <w:pPr>
              <w:spacing w:before="20" w:after="20"/>
            </w:pPr>
            <w:r>
              <w:rPr>
                <w:sz w:val="16"/>
              </w:rPr>
              <w:t>NFR-4</w:t>
            </w:r>
          </w:p>
        </w:tc>
        <w:tc>
          <w:tcPr>
            <w:tcW w:type="dxa" w:w="3504"/>
          </w:tcPr>
          <w:p>
            <w:pPr>
              <w:spacing w:before="20" w:after="20"/>
            </w:pPr>
            <w:r>
              <w:rPr>
                <w:sz w:val="16"/>
              </w:rPr>
              <w:t>Performance</w:t>
            </w:r>
          </w:p>
        </w:tc>
        <w:tc>
          <w:tcPr>
            <w:tcW w:type="dxa" w:w="3504"/>
          </w:tcPr>
          <w:p>
            <w:pPr>
              <w:spacing w:before="20" w:after="20"/>
            </w:pPr>
            <w:r>
              <w:rPr>
                <w:sz w:val="16"/>
              </w:rPr>
              <w:t>Approval routing and notifications complete within seconds of an action via Flow Designer</w:t>
            </w:r>
          </w:p>
        </w:tc>
      </w:tr>
      <w:tr>
        <w:tc>
          <w:tcPr>
            <w:tcW w:type="dxa" w:w="3504"/>
          </w:tcPr>
          <w:p>
            <w:pPr>
              <w:spacing w:before="20" w:after="20"/>
            </w:pPr>
            <w:r>
              <w:rPr>
                <w:sz w:val="16"/>
              </w:rPr>
              <w:t>NFR-5</w:t>
            </w:r>
          </w:p>
        </w:tc>
        <w:tc>
          <w:tcPr>
            <w:tcW w:type="dxa" w:w="3504"/>
          </w:tcPr>
          <w:p>
            <w:pPr>
              <w:spacing w:before="20" w:after="20"/>
            </w:pPr>
            <w:r>
              <w:rPr>
                <w:sz w:val="16"/>
              </w:rPr>
              <w:t>Availability</w:t>
            </w:r>
          </w:p>
        </w:tc>
        <w:tc>
          <w:tcPr>
            <w:tcW w:type="dxa" w:w="3504"/>
          </w:tcPr>
          <w:p>
            <w:pPr>
              <w:spacing w:before="20" w:after="20"/>
            </w:pPr>
            <w:r>
              <w:rPr>
                <w:sz w:val="16"/>
              </w:rPr>
              <w:t>Solution runs on ServiceNow's managed cloud platform with standard uptime SLA</w:t>
            </w:r>
          </w:p>
        </w:tc>
      </w:tr>
      <w:tr>
        <w:tc>
          <w:tcPr>
            <w:tcW w:type="dxa" w:w="3504"/>
          </w:tcPr>
          <w:p>
            <w:pPr>
              <w:spacing w:before="20" w:after="20"/>
            </w:pPr>
            <w:r>
              <w:rPr>
                <w:sz w:val="16"/>
              </w:rPr>
              <w:t>NFR-6</w:t>
            </w:r>
          </w:p>
        </w:tc>
        <w:tc>
          <w:tcPr>
            <w:tcW w:type="dxa" w:w="3504"/>
          </w:tcPr>
          <w:p>
            <w:pPr>
              <w:spacing w:before="20" w:after="20"/>
            </w:pPr>
            <w:r>
              <w:rPr>
                <w:sz w:val="16"/>
              </w:rPr>
              <w:t>Scalability</w:t>
            </w:r>
          </w:p>
        </w:tc>
        <w:tc>
          <w:tcPr>
            <w:tcW w:type="dxa" w:w="3504"/>
          </w:tcPr>
          <w:p>
            <w:pPr>
              <w:spacing w:before="20" w:after="20"/>
            </w:pPr>
            <w:r>
              <w:rPr>
                <w:sz w:val="16"/>
              </w:rPr>
              <w:t>Native multi-tenant ServiceNow platform scales to additional request types/volumes without redesign</w:t>
            </w:r>
          </w:p>
        </w:tc>
      </w:tr>
    </w:tbl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