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80"/>
        <w:jc w:val="center"/>
      </w:pPr>
      <w:r>
        <w:rPr>
          <w:b/>
          <w:sz w:val="28"/>
        </w:rPr>
        <w:t>Project Design Phase-II</w:t>
      </w:r>
    </w:p>
    <w:p>
      <w:pPr>
        <w:spacing w:before="40" w:after="80"/>
        <w:jc w:val="center"/>
      </w:pPr>
      <w:r>
        <w:rPr>
          <w:b/>
          <w:sz w:val="25"/>
        </w:rPr>
        <w:t>Technology Stack (Architecture &amp; Stack)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pPr>
              <w:spacing w:before="40" w:after="80"/>
            </w:pPr>
            <w:r>
              <w:rPr>
                <w:b/>
              </w:rPr>
              <w:t>Date</w:t>
            </w:r>
          </w:p>
        </w:tc>
        <w:tc>
          <w:tcPr>
            <w:tcW w:type="dxa" w:w="5256"/>
          </w:tcPr>
          <w:p>
            <w:pPr>
              <w:spacing w:before="40" w:after="80"/>
            </w:pPr>
            <w:r>
              <w:t>31 July 2026</w:t>
            </w:r>
          </w:p>
        </w:tc>
      </w:tr>
      <w:tr>
        <w:tc>
          <w:tcPr>
            <w:tcW w:type="dxa" w:w="5256"/>
          </w:tcPr>
          <w:p>
            <w:pPr>
              <w:spacing w:before="40" w:after="80"/>
            </w:pPr>
            <w:r>
              <w:rPr>
                <w:b/>
              </w:rPr>
              <w:t>Team ID</w:t>
            </w:r>
          </w:p>
        </w:tc>
        <w:tc>
          <w:tcPr>
            <w:tcW w:type="dxa" w:w="5256"/>
          </w:tcPr>
          <w:p>
            <w:pPr>
              <w:spacing w:before="40" w:after="80"/>
            </w:pPr>
            <w:r>
              <w:t>Team 1</w:t>
            </w:r>
          </w:p>
        </w:tc>
      </w:tr>
      <w:tr>
        <w:tc>
          <w:tcPr>
            <w:tcW w:type="dxa" w:w="5256"/>
          </w:tcPr>
          <w:p>
            <w:pPr>
              <w:spacing w:before="40" w:after="80"/>
            </w:pPr>
            <w:r>
              <w:rPr>
                <w:b/>
              </w:rPr>
              <w:t>Project Name</w:t>
            </w:r>
          </w:p>
        </w:tc>
        <w:tc>
          <w:tcPr>
            <w:tcW w:type="dxa" w:w="5256"/>
          </w:tcPr>
          <w:p>
            <w:pPr>
              <w:spacing w:before="40" w:after="80"/>
            </w:pPr>
            <w:r>
              <w:t>Employee Software Installation Request through Service Catalog</w:t>
            </w:r>
          </w:p>
        </w:tc>
      </w:tr>
      <w:tr>
        <w:tc>
          <w:tcPr>
            <w:tcW w:type="dxa" w:w="5256"/>
          </w:tcPr>
          <w:p>
            <w:pPr>
              <w:spacing w:before="40" w:after="80"/>
            </w:pPr>
            <w:r>
              <w:rPr>
                <w:b/>
              </w:rPr>
              <w:t>Maximum Marks</w:t>
            </w:r>
          </w:p>
        </w:tc>
        <w:tc>
          <w:tcPr>
            <w:tcW w:type="dxa" w:w="5256"/>
          </w:tcPr>
          <w:p>
            <w:pPr>
              <w:spacing w:before="40" w:after="80"/>
            </w:pPr>
            <w:r>
              <w:t>4 Marks</w:t>
            </w:r>
          </w:p>
        </w:tc>
      </w:tr>
    </w:tbl>
    <w:p>
      <w:pPr>
        <w:spacing w:before="40" w:after="80"/>
      </w:pPr>
    </w:p>
    <w:p>
      <w:pPr>
        <w:spacing w:before="40" w:after="80"/>
      </w:pPr>
      <w:r>
        <w:rPr>
          <w:b/>
          <w:sz w:val="23"/>
        </w:rPr>
        <w:t>Technical Architecture:</w:t>
      </w:r>
    </w:p>
    <w:p>
      <w:pPr>
        <w:spacing w:before="40" w:after="80"/>
      </w:pPr>
      <w:r>
        <w:rPr>
          <w:sz w:val="19"/>
        </w:rPr>
        <w:t>The architectural diagram below shows the components and information flow of the solution.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35040" cy="3048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48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/>
      </w:pPr>
      <w:r>
        <w:rPr>
          <w:b/>
          <w:sz w:val="23"/>
        </w:rPr>
        <w:t>Table-1: Components &amp; Technologies: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val="clear" w:color="auto" w:fill="1F4E78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>S.No</w:t>
            </w:r>
          </w:p>
        </w:tc>
        <w:tc>
          <w:tcPr>
            <w:tcW w:type="dxa" w:w="2628"/>
            <w:shd w:val="clear" w:color="auto" w:fill="1F4E78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2628"/>
            <w:shd w:val="clear" w:color="auto" w:fill="1F4E78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2628"/>
            <w:shd w:val="clear" w:color="auto" w:fill="1F4E78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>Technology</w:t>
            </w:r>
          </w:p>
        </w:tc>
      </w:tr>
      <w:tr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1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User Interface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How the employee interacts with the application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ServiceNow Service Portal / Now Experience UI</w:t>
            </w:r>
          </w:p>
        </w:tc>
      </w:tr>
      <w:tr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2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Application Logic-1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Approval routing and branching logic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Flow Designer</w:t>
            </w:r>
          </w:p>
        </w:tc>
      </w:tr>
      <w:tr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3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Application Logic-2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Automated Incident creation on license shortage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Business Rules (GlideRecord / JavaScript)</w:t>
            </w:r>
          </w:p>
        </w:tc>
      </w:tr>
      <w:tr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4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Application Logic-3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Role-based access restrictions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Access Control Lists (ACL)</w:t>
            </w:r>
          </w:p>
        </w:tc>
      </w:tr>
      <w:tr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5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Database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Core platform data storage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ServiceNow tables (sc_req_item, sc_task, incident, sys_user)</w:t>
            </w:r>
          </w:p>
        </w:tc>
      </w:tr>
      <w:tr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6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Cloud Database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Hosted instance data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ServiceNow Cloud (Now Platform)</w:t>
            </w:r>
          </w:p>
        </w:tc>
      </w:tr>
      <w:tr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7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File Storage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Attachment storage (if applicable)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ServiceNow Attachment table (sys_attachment)</w:t>
            </w:r>
          </w:p>
        </w:tc>
      </w:tr>
      <w:tr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8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External API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Not used in current scope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9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Machine Learning Model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Not used in current scope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10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Infrastructure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Application deployment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ServiceNow Personal Developer Instance (Cloud-hosted)</w:t>
            </w:r>
          </w:p>
        </w:tc>
      </w:tr>
    </w:tbl>
    <w:p>
      <w:pPr>
        <w:spacing w:before="40" w:after="80"/>
      </w:pPr>
      <w:r>
        <w:rPr>
          <w:b/>
          <w:sz w:val="23"/>
        </w:rPr>
        <w:t>Table-2: Application Characteristics: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val="clear" w:color="auto" w:fill="1F4E78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>S.No</w:t>
            </w:r>
          </w:p>
        </w:tc>
        <w:tc>
          <w:tcPr>
            <w:tcW w:type="dxa" w:w="2628"/>
            <w:shd w:val="clear" w:color="auto" w:fill="1F4E78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>Characteristics</w:t>
            </w:r>
          </w:p>
        </w:tc>
        <w:tc>
          <w:tcPr>
            <w:tcW w:type="dxa" w:w="2628"/>
            <w:shd w:val="clear" w:color="auto" w:fill="1F4E78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2628"/>
            <w:shd w:val="clear" w:color="auto" w:fill="1F4E78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>Technology</w:t>
            </w:r>
          </w:p>
        </w:tc>
      </w:tr>
      <w:tr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1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Open-Source Frameworks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Not applicable — built on the proprietary ServiceNow platform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2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Security Implementations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Role-based ACLs, Cross-scope Access control, single-approver validation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ServiceNow ACL engine, Cross-scope Access</w:t>
            </w:r>
          </w:p>
        </w:tc>
      </w:tr>
      <w:tr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3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Scalable Architecture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Native multi-tenant cloud platform scales without infrastructure changes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ServiceNow Cloud</w:t>
            </w:r>
          </w:p>
        </w:tc>
      </w:tr>
      <w:tr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4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Availability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Managed hosting with platform-level uptime SLA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ServiceNow Cloud hosting</w:t>
            </w:r>
          </w:p>
        </w:tc>
      </w:tr>
      <w:tr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5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Performance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Asynchronous Flow execution avoids blocking user actions</w:t>
            </w:r>
          </w:p>
        </w:tc>
        <w:tc>
          <w:tcPr>
            <w:tcW w:type="dxa" w:w="2628"/>
          </w:tcPr>
          <w:p>
            <w:pPr>
              <w:spacing w:before="20" w:after="20"/>
            </w:pPr>
            <w:r>
              <w:rPr>
                <w:sz w:val="15"/>
              </w:rPr>
              <w:t>Flow Designer engine</w:t>
            </w:r>
          </w:p>
        </w:tc>
      </w:tr>
    </w:tbl>
    <w:p>
      <w:pPr>
        <w:spacing w:before="40" w:after="80"/>
      </w:pPr>
      <w:r>
        <w:rPr>
          <w:b/>
          <w:sz w:val="23"/>
        </w:rPr>
        <w:t>References:</w:t>
      </w:r>
    </w:p>
    <w:p>
      <w:pPr>
        <w:spacing w:before="40" w:after="80"/>
      </w:pPr>
      <w:r>
        <w:rPr>
          <w:sz w:val="19"/>
        </w:rPr>
      </w:r>
      <w:r>
        <w:rPr>
          <w:color w:val="1054C9"/>
          <w:sz w:val="19"/>
          <w:u w:val="single"/>
        </w:rPr>
        <w:t>https://docs.servicenow.com</w:t>
      </w:r>
    </w:p>
    <w:p>
      <w:pPr>
        <w:spacing w:before="40" w:after="80"/>
      </w:pPr>
      <w:r>
        <w:rPr>
          <w:sz w:val="19"/>
        </w:rPr>
      </w:r>
      <w:r>
        <w:rPr>
          <w:color w:val="1054C9"/>
          <w:sz w:val="19"/>
          <w:u w:val="single"/>
        </w:rPr>
        <w:t>https://developer.servicenow.com</w:t>
      </w:r>
    </w:p>
    <w:p>
      <w:pPr>
        <w:spacing w:before="40" w:after="80"/>
      </w:pPr>
      <w:r>
        <w:rPr>
          <w:sz w:val="19"/>
        </w:rPr>
      </w:r>
      <w:r>
        <w:rPr>
          <w:color w:val="1054C9"/>
          <w:sz w:val="19"/>
          <w:u w:val="single"/>
        </w:rPr>
        <w:t>https://www.servicenow.com/products/service-catalog.html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