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36"/>
          <w:szCs w:val="36"/>
        </w:rPr>
        <w:t xml:space="preserve">Planning Logic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Project: Employee Software Installation Request (ServiceNow)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document defines the logical build sequence for the project — the order in which components must be created so that each step has its dependencies already in place, minimizing rework and configuration errors.</w:t>
      </w:r>
    </w:p>
    <w:p>
      <w:pPr>
        <w:pStyle w:val="Heading1"/>
        <w:spacing w:after="150" w:before="300"/>
      </w:pPr>
      <w:r>
        <w:t xml:space="preserve">2. Dependency-Based Build Sequence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50"/>
      </w:tblGrid>
      <w:tr>
        <w:tc>
          <w:tcPr>
            <w:tcW w:type="dxa" w:w="9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52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 This Order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Scoped Application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other components must live inside a defined application scope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Service Catalog Item + Variables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Defines what data will be captured before any downstream logic can reference it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Verify sc_req_item accessibility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Confirms the platform's native request table is reachable before building automation on top of it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Flow Designer – Trigger + Ask For Approval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Needs the catalog item (step 2) to exist so the trigger condition can reference it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Flow Branches (Approved / Rejected)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Depends on the approval step (step 4) existing first, since branches attach to its outcome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Business Rule – Incident on License Shortage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Independent of the Flow, but depends on the request table/state values being finalized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Cross-scope Access + App Settings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Needed once the Flow attempts to write outside its own scope (e.g., sending email)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Roles &amp; ACLs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Layered on top once core functionality is confirmed working, to avoid masking functional bugs as permission errors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 Users &amp; End-to-End Testing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Requires every prior component to be in place to validate the full lifecycle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Documentation &amp; GitHub Publish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Final step, once functionality is verified and stable</w:t>
            </w:r>
          </w:p>
        </w:tc>
      </w:tr>
    </w:tbl>
    <w:p>
      <w:pPr>
        <w:pStyle w:val="Heading1"/>
        <w:spacing w:after="150" w:before="300"/>
      </w:pPr>
      <w:r>
        <w:t xml:space="preserve">3. Key Planning Principles Applied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the data-capturing layer (Catalog Item) before the logic that consumes its data (Flow, Business Rules).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platform/table accessibility early, before investing time in automation built on top of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Introduce security (roles/ACLs) only after core functionality is proven, to isolate functional bugs from permission bugs during testing.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with real end-to-end scenarios (employee → manager → fulfillment) rather than testing each component in isolation.</w:t>
      </w:r>
    </w:p>
    <w:p>
      <w:pPr>
        <w:pStyle w:val="Heading1"/>
        <w:spacing w:after="150" w:before="300"/>
      </w:pPr>
      <w:r>
        <w:t xml:space="preserve">4. Lessons Applied From Build Experience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Always verify that catalog variable technical names are captured correctly before writing scripts that reference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Cross-scope Access and "Accessible from" application settings before troubleshooting Flow action errors as logic bugs.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Avoid hardcoded values inside Flow condition fields (e.g., Rules → When) — always use dynamic data pills referencing the record.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the raw approval table (sysapproval_approver) directly when "My Approvals" appears empty, rather than assuming a permissions issue first.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2026-07-26T06:27:56.610Z</dcterms:created>
  <dcterms:modified xsi:type="dcterms:W3CDTF">2026-07-26T06:27:56.624Z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