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Project Design Phase</w:t>
      </w:r>
    </w:p>
    <w:p>
      <w:pPr>
        <w:jc w:val="center"/>
      </w:pPr>
      <w:r>
        <w:rPr>
          <w:b/>
          <w:bCs/>
        </w:rPr>
        <w:t xml:space="preserve">Solution Architecture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31 July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An employee requests installation of licensed software through the Service Catalog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4 Marks</w:t>
            </w:r>
          </w:p>
        </w:tc>
      </w:tr>
    </w:tbl>
    <w:p/>
    <w:p>
      <w:r>
        <w:rPr>
          <w:b/>
          <w:bCs/>
        </w:rPr>
        <w:t xml:space="preserve">Solution Architecture:</w:t>
      </w:r>
    </w:p>
    <w:p>
      <w: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1"/>
        </w:numPr>
      </w:pPr>
      <w:r>
        <w:t xml:space="preserve">Find the best tech solution to solve existing business problems.</w:t>
      </w:r>
    </w:p>
    <w:p>
      <w:pPr>
        <w:pStyle w:val="ListParagraph"/>
        <w:numPr>
          <w:ilvl w:val="0"/>
          <w:numId w:val="1"/>
        </w:numPr>
      </w:pPr>
      <w: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1"/>
        </w:numPr>
      </w:pPr>
      <w:r>
        <w:t xml:space="preserve">Define features, development phases, and solution requirements.</w:t>
      </w:r>
    </w:p>
    <w:p>
      <w:pPr>
        <w:pStyle w:val="ListParagraph"/>
        <w:numPr>
          <w:ilvl w:val="0"/>
          <w:numId w:val="1"/>
        </w:numPr>
      </w:pPr>
      <w:r>
        <w:t xml:space="preserve">Provide specifications according to which the solution is defined, managed, and delivered.</w:t>
      </w:r>
    </w:p>
    <w:p/>
    <w:p>
      <w:r>
        <w:rPr>
          <w:b/>
          <w:bCs/>
        </w:rPr>
        <w:t xml:space="preserve">Solution Architecture Diagram:</w:t>
      </w:r>
    </w:p>
    <w:p/>
    <w:p>
      <w:pPr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</w:rPr>
        <w:t xml:space="preserve">Figure 1: Architecture and data flow for licensed software requests submitted through the Service Catalog</w:t>
      </w:r>
    </w:p>
    <w:p/>
    <w:p>
      <w:r>
        <w:rPr>
          <w:b/>
          <w:bCs/>
        </w:rPr>
        <w:t xml:space="preserve">Narrative: </w:t>
      </w:r>
      <w:r>
        <w:t xml:space="preserve">An employee submits a software request through the Employee Self-Service Portal by selecting a Service Catalog item. This creates a Request Item (RITM). The request routes to the employee's manager for approval, then to Software Asset Management (SAM) to confirm a license seat is available in the Entitlement/License Pool. Once approved and license-checked, a Fulfillment/Orchestration flow triggers the Software Deployment Tool (e.g., SCCM, Intune, or JAMF) to push the install to the employee's device, and updates the CMDB with the new asset/software relationship. The install and license usage are written to an audit/compliance log, the RITM is closed, and the employee is notified via email and the Portal.</w:t>
      </w:r>
    </w:p>
    <w:p/>
    <w:p>
      <w:r>
        <w:rPr>
          <w:b/>
          <w:bCs/>
        </w:rPr>
        <w:t xml:space="preserve">Reference (pattern adapted from): </w:t>
      </w:r>
      <w:hyperlink w:history="1" r:id="rIdzv31rkpcl1c-hz2ckab9k">
        <w:r>
          <w:rPr>
            <w:rStyle w:val="Hyperlink"/>
          </w:rPr>
          <w:t xml:space="preserve">https://aws.amazon.com/blogs/industries/voice-applications-in-clinical-research-powered-by-ai-on-aws-part-1-architecture-and-design-considerations/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v31rkpcl1c-hz2ckab9k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image" Target="media/b18647bc1b65c4525e111aa9962357e8cc570ad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2026-07-31T08:54:12.311Z</dcterms:created>
  <dcterms:modified xsi:type="dcterms:W3CDTF">2026-07-31T08:54:12.312Z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