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8"/>
          <w:sz w:val="36"/>
          <w:szCs w:val="36"/>
        </w:rPr>
        <w:t xml:space="preserve">Brainstorming – Idea Generation &amp; Prioritization</w:t>
      </w:r>
    </w:p>
    <w:p>
      <w:pPr>
        <w:spacing w:after="400"/>
      </w:pPr>
      <w:r>
        <w:rPr>
          <w:i/>
          <w:iCs/>
          <w:sz w:val="24"/>
          <w:szCs w:val="24"/>
        </w:rPr>
        <w:t xml:space="preserve">Project: Employee Software Installation Request (ServiceNow)</w:t>
      </w:r>
    </w:p>
    <w:p>
      <w:pPr>
        <w:pStyle w:val="Heading1"/>
        <w:spacing w:after="150" w:before="300"/>
      </w:pPr>
      <w:r>
        <w:t xml:space="preserve">1. Background</w:t>
      </w:r>
    </w:p>
    <w:p>
      <w:pPr>
        <w:spacing w:after="120"/>
      </w:pPr>
      <w:r>
        <w:t xml:space="preserve">Employees across the organization frequently need licensed software (e.g., Microsoft Office, Adobe Photoshop, AutoCAD) installed on their work devices. Today this is typically requested informally via email or verbal request to IT, resulting in delays, lost requests, no visibility into license availability, and inconsistent approval oversight from managers.</w:t>
      </w:r>
    </w:p>
    <w:p>
      <w:pPr>
        <w:pStyle w:val="Heading1"/>
        <w:spacing w:after="150" w:before="300"/>
      </w:pPr>
      <w:r>
        <w:t xml:space="preserve">2. Brainstorming Session Goal</w:t>
      </w:r>
    </w:p>
    <w:p>
      <w:pPr>
        <w:spacing w:after="120"/>
      </w:pPr>
      <w:r>
        <w:t xml:space="preserve">Generate and evaluate potential approaches to digitize and automate the software installation request lifecycle — from request submission through manager approval to IT fulfillment — using the ServiceNow platform.</w:t>
      </w:r>
    </w:p>
    <w:p>
      <w:pPr>
        <w:pStyle w:val="Heading1"/>
        <w:spacing w:after="150" w:before="300"/>
      </w:pPr>
      <w:r>
        <w:t xml:space="preserve">3. Ideas Generated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c>
          <w:tcPr>
            <w:tcW w:type="dxa" w:w="4200"/>
            <w:shd w:fill="1F4E78" w:val="clear"/>
          </w:tcPr>
          <w:p>
            <w:r>
              <w:rPr>
                <w:b/>
                <w:bCs/>
                <w:color w:val="FFFFFF"/>
                <w:sz w:val="22"/>
                <w:szCs w:val="22"/>
              </w:rPr>
              <w:t xml:space="preserve">Idea</w:t>
            </w:r>
          </w:p>
        </w:tc>
        <w:tc>
          <w:tcPr>
            <w:tcW w:type="dxa" w:w="5150"/>
            <w:shd w:fill="1F4E78" w:val="clear"/>
          </w:tcPr>
          <w:p>
            <w:r>
              <w:rPr>
                <w:b/>
                <w:bCs/>
                <w:color w:val="FFFFFF"/>
                <w:sz w:val="22"/>
                <w:szCs w:val="22"/>
              </w:rPr>
              <w:t xml:space="preserve">Description</w:t>
            </w:r>
          </w:p>
        </w:tc>
      </w:tr>
      <w:tr>
        <w:tc>
          <w:tcPr>
            <w:tcW w:type="dxa" w:w="4200"/>
          </w:tcPr>
          <w:p>
            <w:r>
              <w:rPr>
                <w:sz w:val="22"/>
                <w:szCs w:val="22"/>
              </w:rPr>
              <w:t xml:space="preserve">Email-based request tracking</w:t>
            </w:r>
          </w:p>
        </w:tc>
        <w:tc>
          <w:tcPr>
            <w:tcW w:type="dxa" w:w="5150"/>
          </w:tcPr>
          <w:p>
            <w:r>
              <w:rPr>
                <w:sz w:val="22"/>
                <w:szCs w:val="22"/>
              </w:rPr>
              <w:t xml:space="preserve">Continue using email but add a shared tracker (Excel/SharePoint) for visibility.</w:t>
            </w:r>
          </w:p>
        </w:tc>
      </w:tr>
      <w:tr>
        <w:tc>
          <w:tcPr>
            <w:tcW w:type="dxa" w:w="4200"/>
          </w:tcPr>
          <w:p>
            <w:r>
              <w:rPr>
                <w:sz w:val="22"/>
                <w:szCs w:val="22"/>
              </w:rPr>
              <w:t xml:space="preserve">Standalone helpdesk ticket</w:t>
            </w:r>
          </w:p>
        </w:tc>
        <w:tc>
          <w:tcPr>
            <w:tcW w:type="dxa" w:w="5150"/>
          </w:tcPr>
          <w:p>
            <w:r>
              <w:rPr>
                <w:sz w:val="22"/>
                <w:szCs w:val="22"/>
              </w:rPr>
              <w:t xml:space="preserve">Log every request as a generic IT ticket/incident with no structured approval flow.</w:t>
            </w:r>
          </w:p>
        </w:tc>
      </w:tr>
      <w:tr>
        <w:tc>
          <w:tcPr>
            <w:tcW w:type="dxa" w:w="4200"/>
          </w:tcPr>
          <w:p>
            <w:r>
              <w:rPr>
                <w:sz w:val="22"/>
                <w:szCs w:val="22"/>
              </w:rPr>
              <w:t xml:space="preserve">ServiceNow Service Catalog item</w:t>
            </w:r>
          </w:p>
        </w:tc>
        <w:tc>
          <w:tcPr>
            <w:tcW w:type="dxa" w:w="5150"/>
          </w:tcPr>
          <w:p>
            <w:r>
              <w:rPr>
                <w:sz w:val="22"/>
                <w:szCs w:val="22"/>
              </w:rPr>
              <w:t xml:space="preserve">Build a dedicated catalog item capturing software name, version, justification, device, license type and required-by date; route through manager approval automatically.</w:t>
            </w:r>
          </w:p>
        </w:tc>
      </w:tr>
      <w:tr>
        <w:tc>
          <w:tcPr>
            <w:tcW w:type="dxa" w:w="4200"/>
          </w:tcPr>
          <w:p>
            <w:r>
              <w:rPr>
                <w:sz w:val="22"/>
                <w:szCs w:val="22"/>
              </w:rPr>
              <w:t xml:space="preserve">Chatbot-driven request</w:t>
            </w:r>
          </w:p>
        </w:tc>
        <w:tc>
          <w:tcPr>
            <w:tcW w:type="dxa" w:w="5150"/>
          </w:tcPr>
          <w:p>
            <w:r>
              <w:rPr>
                <w:sz w:val="22"/>
                <w:szCs w:val="22"/>
              </w:rPr>
              <w:t xml:space="preserve">Let employees request software via a chat interface that files the request behind the scenes.</w:t>
            </w:r>
          </w:p>
        </w:tc>
      </w:tr>
      <w:tr>
        <w:tc>
          <w:tcPr>
            <w:tcW w:type="dxa" w:w="4200"/>
          </w:tcPr>
          <w:p>
            <w:r>
              <w:rPr>
                <w:sz w:val="22"/>
                <w:szCs w:val="22"/>
              </w:rPr>
              <w:t xml:space="preserve">Self-service software portal with license tracking</w:t>
            </w:r>
          </w:p>
        </w:tc>
        <w:tc>
          <w:tcPr>
            <w:tcW w:type="dxa" w:w="5150"/>
          </w:tcPr>
          <w:p>
            <w:r>
              <w:rPr>
                <w:sz w:val="22"/>
                <w:szCs w:val="22"/>
              </w:rPr>
              <w:t xml:space="preserve">Full catalog item + automated approval + license-availability check + auto-generated incident if licenses run out.</w:t>
            </w:r>
          </w:p>
        </w:tc>
      </w:tr>
    </w:tbl>
    <w:p>
      <w:pPr>
        <w:pStyle w:val="Heading1"/>
        <w:spacing w:after="150" w:before="300"/>
      </w:pPr>
      <w:r>
        <w:t xml:space="preserve">4. Prioritization (Impact vs. Effort)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50"/>
      </w:tblGrid>
      <w:tr>
        <w:tc>
          <w:tcPr>
            <w:tcW w:type="dxa" w:w="3400"/>
            <w:shd w:fill="1F4E78" w:val="clear"/>
          </w:tcPr>
          <w:p>
            <w:r>
              <w:rPr>
                <w:b/>
                <w:bCs/>
                <w:color w:val="FFFFFF"/>
                <w:sz w:val="22"/>
                <w:szCs w:val="22"/>
              </w:rPr>
              <w:t xml:space="preserve">Idea</w:t>
            </w:r>
          </w:p>
        </w:tc>
        <w:tc>
          <w:tcPr>
            <w:tcW w:type="dxa" w:w="1800"/>
            <w:shd w:fill="1F4E78" w:val="clear"/>
          </w:tcPr>
          <w:p>
            <w:r>
              <w:rPr>
                <w:b/>
                <w:bCs/>
                <w:color w:val="FFFFFF"/>
                <w:sz w:val="22"/>
                <w:szCs w:val="22"/>
              </w:rPr>
              <w:t xml:space="preserve">Impact</w:t>
            </w:r>
          </w:p>
        </w:tc>
        <w:tc>
          <w:tcPr>
            <w:tcW w:type="dxa" w:w="1800"/>
            <w:shd w:fill="1F4E78" w:val="clear"/>
          </w:tcPr>
          <w:p>
            <w:r>
              <w:rPr>
                <w:b/>
                <w:bCs/>
                <w:color w:val="FFFFFF"/>
                <w:sz w:val="22"/>
                <w:szCs w:val="22"/>
              </w:rPr>
              <w:t xml:space="preserve">Effort</w:t>
            </w:r>
          </w:p>
        </w:tc>
        <w:tc>
          <w:tcPr>
            <w:tcW w:type="dxa" w:w="2350"/>
            <w:shd w:fill="1F4E78" w:val="clear"/>
          </w:tcPr>
          <w:p>
            <w:r>
              <w:rPr>
                <w:b/>
                <w:bCs/>
                <w:color w:val="FFFFFF"/>
                <w:sz w:val="22"/>
                <w:szCs w:val="22"/>
              </w:rPr>
              <w:t xml:space="preserve">Priority</w:t>
            </w:r>
          </w:p>
        </w:tc>
      </w:tr>
      <w:tr>
        <w:tc>
          <w:tcPr>
            <w:tcW w:type="dxa" w:w="3400"/>
          </w:tcPr>
          <w:p>
            <w:r>
              <w:rPr>
                <w:sz w:val="22"/>
                <w:szCs w:val="22"/>
              </w:rPr>
              <w:t xml:space="preserve">Email + shared tracker</w:t>
            </w:r>
          </w:p>
        </w:tc>
        <w:tc>
          <w:tcPr>
            <w:tcW w:type="dxa" w:w="1800"/>
          </w:tcPr>
          <w:p>
            <w:r>
              <w:rPr>
                <w:sz w:val="22"/>
                <w:szCs w:val="22"/>
              </w:rPr>
              <w:t xml:space="preserve">Low</w:t>
            </w:r>
          </w:p>
        </w:tc>
        <w:tc>
          <w:tcPr>
            <w:tcW w:type="dxa" w:w="1800"/>
          </w:tcPr>
          <w:p>
            <w:r>
              <w:rPr>
                <w:sz w:val="22"/>
                <w:szCs w:val="22"/>
              </w:rPr>
              <w:t xml:space="preserve">Low</w:t>
            </w:r>
          </w:p>
        </w:tc>
        <w:tc>
          <w:tcPr>
            <w:tcW w:type="dxa" w:w="2350"/>
          </w:tcPr>
          <w:p>
            <w:r>
              <w:rPr>
                <w:sz w:val="22"/>
                <w:szCs w:val="22"/>
              </w:rPr>
              <w:t xml:space="preserve">Not selected</w:t>
            </w:r>
          </w:p>
        </w:tc>
      </w:tr>
      <w:tr>
        <w:tc>
          <w:tcPr>
            <w:tcW w:type="dxa" w:w="3400"/>
          </w:tcPr>
          <w:p>
            <w:r>
              <w:rPr>
                <w:sz w:val="22"/>
                <w:szCs w:val="22"/>
              </w:rPr>
              <w:t xml:space="preserve">Generic IT ticket</w:t>
            </w:r>
          </w:p>
        </w:tc>
        <w:tc>
          <w:tcPr>
            <w:tcW w:type="dxa" w:w="1800"/>
          </w:tcPr>
          <w:p>
            <w:r>
              <w:rPr>
                <w:sz w:val="22"/>
                <w:szCs w:val="22"/>
              </w:rPr>
              <w:t xml:space="preserve">Medium</w:t>
            </w:r>
          </w:p>
        </w:tc>
        <w:tc>
          <w:tcPr>
            <w:tcW w:type="dxa" w:w="1800"/>
          </w:tcPr>
          <w:p>
            <w:r>
              <w:rPr>
                <w:sz w:val="22"/>
                <w:szCs w:val="22"/>
              </w:rPr>
              <w:t xml:space="preserve">Low</w:t>
            </w:r>
          </w:p>
        </w:tc>
        <w:tc>
          <w:tcPr>
            <w:tcW w:type="dxa" w:w="2350"/>
          </w:tcPr>
          <w:p>
            <w:r>
              <w:rPr>
                <w:sz w:val="22"/>
                <w:szCs w:val="22"/>
              </w:rPr>
              <w:t xml:space="preserve">Not selected</w:t>
            </w:r>
          </w:p>
        </w:tc>
      </w:tr>
      <w:tr>
        <w:tc>
          <w:tcPr>
            <w:tcW w:type="dxa" w:w="3400"/>
          </w:tcPr>
          <w:p>
            <w:r>
              <w:rPr>
                <w:sz w:val="22"/>
                <w:szCs w:val="22"/>
              </w:rPr>
              <w:t xml:space="preserve">ServiceNow Catalog Item + Approval Flow</w:t>
            </w:r>
          </w:p>
        </w:tc>
        <w:tc>
          <w:tcPr>
            <w:tcW w:type="dxa" w:w="1800"/>
          </w:tcPr>
          <w:p>
            <w:r>
              <w:rPr>
                <w:sz w:val="22"/>
                <w:szCs w:val="22"/>
              </w:rPr>
              <w:t xml:space="preserve">High</w:t>
            </w:r>
          </w:p>
        </w:tc>
        <w:tc>
          <w:tcPr>
            <w:tcW w:type="dxa" w:w="1800"/>
          </w:tcPr>
          <w:p>
            <w:r>
              <w:rPr>
                <w:sz w:val="22"/>
                <w:szCs w:val="22"/>
              </w:rPr>
              <w:t xml:space="preserve">Medium</w:t>
            </w:r>
          </w:p>
        </w:tc>
        <w:tc>
          <w:tcPr>
            <w:tcW w:type="dxa" w:w="2350"/>
          </w:tcPr>
          <w:p>
            <w:r>
              <w:rPr>
                <w:sz w:val="22"/>
                <w:szCs w:val="22"/>
              </w:rPr>
              <w:t xml:space="preserve">Selected ✔</w:t>
            </w:r>
          </w:p>
        </w:tc>
      </w:tr>
      <w:tr>
        <w:tc>
          <w:tcPr>
            <w:tcW w:type="dxa" w:w="3400"/>
          </w:tcPr>
          <w:p>
            <w:r>
              <w:rPr>
                <w:sz w:val="22"/>
                <w:szCs w:val="22"/>
              </w:rPr>
              <w:t xml:space="preserve">Chatbot-driven request</w:t>
            </w:r>
          </w:p>
        </w:tc>
        <w:tc>
          <w:tcPr>
            <w:tcW w:type="dxa" w:w="1800"/>
          </w:tcPr>
          <w:p>
            <w:r>
              <w:rPr>
                <w:sz w:val="22"/>
                <w:szCs w:val="22"/>
              </w:rPr>
              <w:t xml:space="preserve">Medium</w:t>
            </w:r>
          </w:p>
        </w:tc>
        <w:tc>
          <w:tcPr>
            <w:tcW w:type="dxa" w:w="1800"/>
          </w:tcPr>
          <w:p>
            <w:r>
              <w:rPr>
                <w:sz w:val="22"/>
                <w:szCs w:val="22"/>
              </w:rPr>
              <w:t xml:space="preserve">High</w:t>
            </w:r>
          </w:p>
        </w:tc>
        <w:tc>
          <w:tcPr>
            <w:tcW w:type="dxa" w:w="2350"/>
          </w:tcPr>
          <w:p>
            <w:r>
              <w:rPr>
                <w:sz w:val="22"/>
                <w:szCs w:val="22"/>
              </w:rPr>
              <w:t xml:space="preserve">Future enhancement</w:t>
            </w:r>
          </w:p>
        </w:tc>
      </w:tr>
      <w:tr>
        <w:tc>
          <w:tcPr>
            <w:tcW w:type="dxa" w:w="3400"/>
          </w:tcPr>
          <w:p>
            <w:r>
              <w:rPr>
                <w:sz w:val="22"/>
                <w:szCs w:val="22"/>
              </w:rPr>
              <w:t xml:space="preserve">Full portal + license tracking</w:t>
            </w:r>
          </w:p>
        </w:tc>
        <w:tc>
          <w:tcPr>
            <w:tcW w:type="dxa" w:w="1800"/>
          </w:tcPr>
          <w:p>
            <w:r>
              <w:rPr>
                <w:sz w:val="22"/>
                <w:szCs w:val="22"/>
              </w:rPr>
              <w:t xml:space="preserve">High</w:t>
            </w:r>
          </w:p>
        </w:tc>
        <w:tc>
          <w:tcPr>
            <w:tcW w:type="dxa" w:w="1800"/>
          </w:tcPr>
          <w:p>
            <w:r>
              <w:rPr>
                <w:sz w:val="22"/>
                <w:szCs w:val="22"/>
              </w:rPr>
              <w:t xml:space="preserve">High</w:t>
            </w:r>
          </w:p>
        </w:tc>
        <w:tc>
          <w:tcPr>
            <w:tcW w:type="dxa" w:w="2350"/>
          </w:tcPr>
          <w:p>
            <w:r>
              <w:rPr>
                <w:sz w:val="22"/>
                <w:szCs w:val="22"/>
              </w:rPr>
              <w:t xml:space="preserve">Phase 2 goal</w:t>
            </w:r>
          </w:p>
        </w:tc>
      </w:tr>
    </w:tbl>
    <w:p>
      <w:pPr>
        <w:pStyle w:val="Heading1"/>
        <w:spacing w:after="150" w:before="300"/>
      </w:pPr>
      <w:r>
        <w:t xml:space="preserve">5. Selected Approach</w:t>
      </w:r>
    </w:p>
    <w:p>
      <w:pPr>
        <w:spacing w:after="120"/>
      </w:pPr>
      <w:r>
        <w:t xml:space="preserve">Build a ServiceNow Service Catalog item for software installation requests, backed by a data-driven workflow: Catalog Item → Requested Item → Manager Approval → Fulfillment Task, with an automated Incident raised if a request cannot be fulfilled due to license shortage.</w:t>
      </w:r>
    </w:p>
    <w:p>
      <w:pPr>
        <w:pStyle w:val="Heading1"/>
        <w:spacing w:after="150" w:before="300"/>
      </w:pPr>
      <w:r>
        <w:t xml:space="preserve">6. Why This Approach Was Prioritized</w:t>
      </w:r>
    </w:p>
    <w:p>
      <w:pPr>
        <w:pStyle w:val="ListParagraph"/>
        <w:numPr>
          <w:ilvl w:val="0"/>
          <w:numId w:val="1"/>
        </w:numPr>
        <w:spacing w:after="80"/>
      </w:pPr>
      <w:r>
        <w:t xml:space="preserve">Uses ServiceNow's native Service Catalog and Approval engine — no external tools needed.</w:t>
      </w:r>
    </w:p>
    <w:p>
      <w:pPr>
        <w:pStyle w:val="ListParagraph"/>
        <w:numPr>
          <w:ilvl w:val="0"/>
          <w:numId w:val="1"/>
        </w:numPr>
        <w:spacing w:after="80"/>
      </w:pPr>
      <w:r>
        <w:t xml:space="preserve">Gives employees a simple, guided form instead of ad-hoc emails.</w:t>
      </w:r>
    </w:p>
    <w:p>
      <w:pPr>
        <w:pStyle w:val="ListParagraph"/>
        <w:numPr>
          <w:ilvl w:val="0"/>
          <w:numId w:val="1"/>
        </w:numPr>
        <w:spacing w:after="80"/>
      </w:pPr>
      <w:r>
        <w:t xml:space="preserve">Gives managers a single, familiar place (My Approvals) to review and decide.</w:t>
      </w:r>
    </w:p>
    <w:p>
      <w:pPr>
        <w:pStyle w:val="ListParagraph"/>
        <w:numPr>
          <w:ilvl w:val="0"/>
          <w:numId w:val="1"/>
        </w:numPr>
        <w:spacing w:after="80"/>
      </w:pPr>
      <w:r>
        <w:t xml:space="preserve">Gives IT/Network teams a trackable fulfillment task instead of a buried email.</w:t>
      </w:r>
    </w:p>
    <w:p>
      <w:pPr>
        <w:pStyle w:val="ListParagraph"/>
        <w:numPr>
          <w:ilvl w:val="0"/>
          <w:numId w:val="1"/>
        </w:numPr>
        <w:spacing w:after="80"/>
      </w:pPr>
      <w:r>
        <w:t xml:space="preserve">Effort is moderate and achievable within the project timeline, while still demonstrating a complete real-world workflow.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2026-07-25T14:55:01.715Z</dcterms:created>
  <dcterms:modified xsi:type="dcterms:W3CDTF">2026-07-25T14:55:01.728Z</dcterms:modified>
</cp:coreProperties>
</file>

<file path=docProps/custom.xml><?xml version="1.0" encoding="utf-8"?>
<Properties xmlns="http://schemas.openxmlformats.org/officeDocument/2006/custom-properties" xmlns:vt="http://schemas.openxmlformats.org/officeDocument/2006/docPropsVTypes"/>
</file>