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Management - Final Submission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Sravya Bhaskara - Section 2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6"/>
          <w:szCs w:val="26"/>
          <w:rtl w:val="0"/>
        </w:rPr>
        <w:t xml:space="preserve">Source of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Zillow Dataset, from Kaggle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Business Questions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 counts of following for the properties for each region, to understand which regions prefer pools and fireplaces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Pool Count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Fireplace Count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20% of the properties have pools with zip 96389, 96379, and 96346 show more preference for pools.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Fireplaces are not as common in these regions, with only 12% properties having one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Regions with both features may indicate a trend toward luxury preferences, though data is sparse.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29038" cy="205268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05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76613" cy="2031313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03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Average Property Value for each city, to assess the living expenses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City 47913 has the highest average property value ($5.5 million), suggesting higher living expenses.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City 26521 has the lowest average value ($141,000), indicating a more affordable cost of living.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7688" cy="261880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61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Average Property Size for each region, what is the trend looking like?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Region 479143 features the largest properties on average (5000 sq. ft.), appealing to families or those desiring more space.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Regions like 41484 have smaller average property sizes (685 sq. ft.), possibly reflecting urban settings.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4838" cy="336772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367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Average price for different property types and find premium property types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Properties labeled "Worst" surprisingly have the highest average value ($3.93M), possibly due to unique features or land value.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Other high-value categories include "Very poor" ($2.27M) and "Bad" ($1.67M), suggesting specific demand for rare or premium features.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Lower-quality descriptions like "Below average" are significantly more affordable ($642K), catering to budget-conscious buyers.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38563" cy="259597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59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Average Property Tax Rate by County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County 3101 have the highest average property tax rate (1.37%), indicating a potential influence on affordability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County 2061 and 1286 are on lower end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5263" cy="2676327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67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average price per square foot for properties by year built (for properties built after 2000)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Prices per square foot peaked in 2003 at $313.36, followed by a constant trend in subsequent couple of years.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All time high was in 2014 with $420.87, followed by a decline again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Number of total properties has declining trend after reaching its peak in 2006</w:t>
      </w:r>
      <w:r w:rsidDel="00000000" w:rsidR="00000000" w:rsidRPr="00000000">
        <w:rPr/>
        <w:drawing>
          <wp:inline distB="114300" distT="114300" distL="114300" distR="114300">
            <wp:extent cx="4148138" cy="3004741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00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most popular Heating System Type and Air condition quality type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Central heating is overwhelmingly preferred (43% properties), indicating a standardization of heating systems.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Air conditioning is not available for the majority of homes.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This could reflect regional climates where heating is prioritized over cooling.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9660" cy="226066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660" cy="226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38713" cy="260390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60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distribution statistics of bedroom and bathroom counts in the building table (Min, Q1, Q2, Q3, Max)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Median bedroom and bathroom counts are 4 and 2.5, respectively, suitable for medium-sized families.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Outliers exist with properties having up to 18 bedrooms and 16 bathrooms, indicating luxury or multi-family homes.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Quartile values suggest a skew toward properties with moderate room counts.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1674011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674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09888" cy="2066836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06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number of properties and their average price in the top 5% of their city by price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Region 10389 leads with an average top-tier property price of $16.7M, indicating extreme high-value properties.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Other high-value regions include 12520 ($11.99M) and 38980 ($6.26M), reflecting their premium housing markets.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The top-tier market shows a sharp contrast to the average city prices, emphasizing income inequality.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1277" cy="20907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277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Calculate year-over-year price changes for any two cities in california. Consider years from 2000 to 2015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Region 96127 experienced a 101.32% price increase in 2007, reflecting a boom period.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In 2003, prices in the same region dropped by 23.02%, showing significant volatility.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These fluctuations highlight market risks and the importance of timing in property investments.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83631" cy="1671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631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95613" cy="180128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801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percentage share of properties in each property type for the entire dataset, and how does it rank among other types?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Property type 261 dominates the dataset (79.69%), indicating a strong market preference.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Secondary types like 266 (11.09%) and 246 (3.99%) cater to niche demands.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The dominance of a few property types suggests limited diversity in housing options across the dataset.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67188" cy="24642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46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05d7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