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SAMPLE SOFTWARE SERVICES AGREEMENT</w:t>
      </w:r>
    </w:p>
    <w:p>
      <w:pPr>
        <w:jc w:val="center"/>
      </w:pPr>
      <w:r>
        <w:rPr>
          <w:i/>
        </w:rPr>
        <w:t>For Legal Document Intelligence Testing Only</w:t>
      </w:r>
    </w:p>
    <w:p>
      <w:r>
        <w:t>This fictional agreement is intentionally designed to contain clauses, ambiguities, defined terms, dates, monetary amounts, obligations, exceptions, and potential drafting issues that a legal-document analysis system might be expected to identify. It is not legal advice and is not based on a real transaction.</w:t>
      </w:r>
    </w:p>
    <w:p>
      <w:pPr>
        <w:pStyle w:val="Heading1"/>
      </w:pPr>
      <w:r>
        <w:t>1. Parties</w:t>
      </w:r>
    </w:p>
    <w:p>
      <w:r>
        <w:t>This Software Services Agreement (the “Agreement”) is entered into as of 1 October 2026 (the “Effective Date”) by and between Northstar Analytics Pvt. Ltd., a company incorporated under the laws of India with its registered office at 14 Lake View Road, Hyderabad, Telangana 500001 (“Provider”), and Meridian Retail Solutions Ltd., a company incorporated under the laws of India with its principal office at 88 Market Street, Bengaluru, Karnataka 560001 (“Customer”). Provider and Customer are each a “Party” and together the “Parties”.</w:t>
      </w:r>
    </w:p>
    <w:p>
      <w:pPr>
        <w:pStyle w:val="Heading1"/>
      </w:pPr>
      <w:r>
        <w:t>2. Services</w:t>
      </w:r>
    </w:p>
    <w:p>
      <w:r>
        <w:t>Provider shall provide hosted data-analytics software, implementation services, technical support, and related professional services described in Schedule A (collectively, the “Services”). Provider may use subcontractors to perform portions of the Services, provided that Provider remains responsible for their performance.</w:t>
      </w:r>
    </w:p>
    <w:p>
      <w:r>
        <w:t>Customer shall provide Provider with reasonable access to personnel, systems, information, and facilities necessary for Provider to perform the Services. Customer acknowledges that delays caused by Customer may result in corresponding extensions to delivery dates.</w:t>
      </w:r>
    </w:p>
    <w:p>
      <w:pPr>
        <w:pStyle w:val="Heading1"/>
      </w:pPr>
      <w:r>
        <w:t>3. Fees and Payment</w:t>
      </w:r>
    </w:p>
    <w:p>
      <w:r>
        <w:t>Customer shall pay the fees set out in Schedule A. Unless Schedule A states otherwise, invoices are payable within thirty (30) days after receipt. Overdue amounts accrue interest at 1.5% per month, or the maximum lawful rate if lower.</w:t>
      </w:r>
    </w:p>
    <w:p>
      <w:r>
        <w:t>Provider may suspend the Services if an undisputed invoice remains unpaid for more than fifteen (15) days after Provider gives written notice of non-payment. Provider shall restore the Services promptly after all overdue undisputed amounts are paid.</w:t>
      </w:r>
    </w:p>
    <w:p>
      <w:r>
        <w:t>All fees are exclusive of applicable taxes, duties, and governmental charges, except taxes imposed on Provider’s net income.</w:t>
      </w:r>
    </w:p>
    <w:p>
      <w:pPr>
        <w:pStyle w:val="Heading1"/>
      </w:pPr>
      <w:r>
        <w:t>4. Term and Renewal</w:t>
      </w:r>
    </w:p>
    <w:p>
      <w:r>
        <w:t>The initial term begins on the Effective Date and continues for twelve (12) months. Thereafter, the Agreement automatically renews for successive twelve-month periods unless either Party gives at least sixty (60) days’ written notice before the end of the then-current term.</w:t>
      </w:r>
    </w:p>
    <w:p>
      <w:r>
        <w:t>Notwithstanding the foregoing, either Party may terminate this Agreement for convenience upon thirty (30) days’ written notice during the first six months of the initial term. The Parties acknowledge that this convenience termination right does not apply after the first six months.</w:t>
      </w:r>
    </w:p>
    <w:p>
      <w:pPr>
        <w:pStyle w:val="Heading1"/>
      </w:pPr>
      <w:r>
        <w:t>5. Confidentiality</w:t>
      </w:r>
    </w:p>
    <w:p>
      <w:r>
        <w:t>Each Party receiving Confidential Information shall use it only for purposes of performing or receiving the Services and shall protect it using at least reasonable care. Confidential Information does not include information that the receiving Party can demonstrate was already lawfully known to it, becomes public through no breach of this Agreement, is independently developed without use of the disclosing Party’s Confidential Information, or is lawfully received from a third party without a duty of confidentiality.</w:t>
      </w:r>
    </w:p>
    <w:p>
      <w:r>
        <w:t>If disclosure is required by law, the receiving Party shall, to the extent legally permitted, provide prompt notice and reasonable assistance so that the disclosing Party may seek protective measures.</w:t>
      </w:r>
    </w:p>
    <w:p>
      <w:r>
        <w:t>The confidentiality obligations in this Section survive for three (3) years after termination, except that trade secrets shall be protected for so long as they remain trade secrets under applicable law.</w:t>
      </w:r>
    </w:p>
    <w:p>
      <w:pPr>
        <w:pStyle w:val="Heading1"/>
      </w:pPr>
      <w:r>
        <w:t>6. Data Protection and Security</w:t>
      </w:r>
    </w:p>
    <w:p>
      <w:r>
        <w:t>Provider shall implement commercially reasonable administrative, technical, and physical safeguards designed to protect Customer Data against unauthorized access, alteration, disclosure, or destruction.</w:t>
      </w:r>
    </w:p>
    <w:p>
      <w:r>
        <w:t>Customer represents that it has all rights and permissions necessary for Provider to process Customer Data in connection with the Services. Provider may process Customer Data through service providers located in India, Singapore, the United States, or other jurisdictions in which Provider or its approved vendors operate.</w:t>
      </w:r>
    </w:p>
    <w:p>
      <w:r>
        <w:t>Provider shall notify Customer without undue delay after becoming aware of a confirmed security incident affecting Customer Data. The Parties shall cooperate in good faith regarding legally required notifications and reasonable remediation measures.</w:t>
      </w:r>
    </w:p>
    <w:p>
      <w:pPr>
        <w:pStyle w:val="Heading1"/>
      </w:pPr>
      <w:r>
        <w:t>7. Intellectual Property</w:t>
      </w:r>
    </w:p>
    <w:p>
      <w:r>
        <w:t>As between the Parties, Customer retains all right, title, and interest in Customer Data. Provider retains all right, title, and interest in the Services, software, documentation, templates, tools, know-how, and improvements developed independently of Customer Data (“Provider Materials”).</w:t>
      </w:r>
    </w:p>
    <w:p>
      <w:r>
        <w:t>Subject to Customer’s payment obligations, Provider grants Customer a non-exclusive, non-transferable, non-sublicensable license during the Term to use the Services and Provider Materials solely for Customer’s internal business operations.</w:t>
      </w:r>
    </w:p>
    <w:p>
      <w:r>
        <w:t>Customer grants Provider a non-exclusive, worldwide, royalty-free license to use Customer Data as necessary to provide, secure, maintain, and improve the Services. Provider shall not sell Customer Data to third parties.</w:t>
      </w:r>
    </w:p>
    <w:p>
      <w:pPr>
        <w:pStyle w:val="Heading1"/>
      </w:pPr>
      <w:r>
        <w:t>8. Warranties</w:t>
      </w:r>
    </w:p>
    <w:p>
      <w:r>
        <w:t>Each Party represents that it has authority to enter into this Agreement. Provider warrants that the Services will materially conform to the specifications in Schedule A when used in accordance with the documentation.</w:t>
      </w:r>
    </w:p>
    <w:p>
      <w:r>
        <w:t>Except as expressly stated in this Agreement, the Services are provided without warranties of any kind, whether express, implied, statutory, or otherwise, including implied warranties of merchantability, fitness for a particular purpose, and non-infringement, to the extent permitted by applicable law.</w:t>
      </w:r>
    </w:p>
    <w:p>
      <w:pPr>
        <w:pStyle w:val="Heading1"/>
      </w:pPr>
      <w:r>
        <w:t>9. Limitation of Liability</w:t>
      </w:r>
    </w:p>
    <w:p>
      <w:r>
        <w:t>To the maximum extent permitted by law, neither Party shall be liable for any indirect, incidental, special, exemplary, or consequential damages, or for loss of profits, revenue, goodwill, or anticipated savings, arising out of or relating to this Agreement.</w:t>
      </w:r>
    </w:p>
    <w:p>
      <w:r>
        <w:t>Except for Customer’s payment obligations and either Party’s indemnification obligations, each Party’s aggregate liability arising out of or relating to this Agreement shall not exceed the fees actually paid or payable by Customer to Provider during the twelve (12) months preceding the event giving rise to the claim.</w:t>
      </w:r>
    </w:p>
    <w:p>
      <w:r>
        <w:t>The Parties intend this limitation to apply regardless of the theory of liability, including contract, tort, negligence, strict liability, or otherwise.</w:t>
      </w:r>
    </w:p>
    <w:p>
      <w:pPr>
        <w:pStyle w:val="Heading1"/>
      </w:pPr>
      <w:r>
        <w:t>10. Indemnification</w:t>
      </w:r>
    </w:p>
    <w:p>
      <w:r>
        <w:t>Provider shall defend Customer against a third-party claim alleging that the Services, as provided by Provider and used in accordance with this Agreement, infringe an Indian patent, copyright, or registered trademark, and shall pay damages finally awarded against Customer or amounts agreed in settlement.</w:t>
      </w:r>
    </w:p>
    <w:p>
      <w:r>
        <w:t>Customer shall defend Provider against third-party claims arising from Customer Data or Customer’s unlawful use of the Services, and shall pay damages finally awarded against Provider or amounts agreed in settlement.</w:t>
      </w:r>
    </w:p>
    <w:p>
      <w:r>
        <w:t>The indemnified Party shall promptly notify the indemnifying Party of a claim, provided that failure to give prompt notice shall relieve the indemnifying Party only to the extent materially prejudiced by the delay.</w:t>
      </w:r>
    </w:p>
    <w:p>
      <w:pPr>
        <w:pStyle w:val="Heading1"/>
      </w:pPr>
      <w:r>
        <w:t>11. Force Majeure</w:t>
      </w:r>
    </w:p>
    <w:p>
      <w:r>
        <w:t>Neither Party shall be liable for delay or failure to perform caused by events beyond its reasonable control, including natural disasters, war, civil unrest, government action, epidemic, labor disruption, telecommunications failure, or widespread cloud-service outages. The affected Party shall use commercially reasonable efforts to mitigate the effects of the event.</w:t>
      </w:r>
    </w:p>
    <w:p>
      <w:r>
        <w:t>If a force majeure event continues for more than ninety (90) consecutive days, either Party may terminate the affected Services upon written notice.</w:t>
      </w:r>
    </w:p>
    <w:p>
      <w:pPr>
        <w:pStyle w:val="Heading1"/>
      </w:pPr>
      <w:r>
        <w:t>12. Non-Solicitation</w:t>
      </w:r>
    </w:p>
    <w:p>
      <w:r>
        <w:t>During the Term and for twelve (12) months thereafter, neither Party shall knowingly solicit for employment any employee of the other Party who was materially involved in the Services. This restriction does not apply to general advertisements or individuals who independently approach a Party without targeted solicitation.</w:t>
      </w:r>
    </w:p>
    <w:p>
      <w:pPr>
        <w:pStyle w:val="Heading1"/>
      </w:pPr>
      <w:r>
        <w:t>13. Audit Rights</w:t>
      </w:r>
    </w:p>
    <w:p>
      <w:r>
        <w:t>Customer may, upon fifteen (15) business days’ prior written notice and not more than once per calendar year, audit Provider’s compliance with the security obligations in Section 6. Any audit shall be conducted during normal business hours and shall not unreasonably interfere with Provider’s operations.</w:t>
      </w:r>
    </w:p>
    <w:p>
      <w:r>
        <w:t>If an audit identifies a material security deficiency, Provider shall provide a remediation plan within ten (10) business days. Customer shall bear its own audit costs.</w:t>
      </w:r>
    </w:p>
    <w:p>
      <w:pPr>
        <w:pStyle w:val="Heading1"/>
      </w:pPr>
      <w:r>
        <w:t>14. Governing Law and Dispute Resolution</w:t>
      </w:r>
    </w:p>
    <w:p>
      <w:r>
        <w:t>This Agreement is governed by the laws of India, without regard to conflict-of-laws principles.</w:t>
      </w:r>
    </w:p>
    <w:p>
      <w:r>
        <w:t>The Parties shall first attempt in good faith to resolve any dispute through discussions between senior executives. If the dispute is not resolved within thirty (30) days after written escalation, either Party may commence proceedings before the courts having jurisdiction in Hyderabad, Telangana.</w:t>
      </w:r>
    </w:p>
    <w:p>
      <w:r>
        <w:t>Notwithstanding the foregoing, either Party may seek urgent injunctive or equitable relief from any court of competent jurisdiction.</w:t>
      </w:r>
    </w:p>
    <w:p>
      <w:pPr>
        <w:pStyle w:val="Heading1"/>
      </w:pPr>
      <w:r>
        <w:t>15. Notices</w:t>
      </w:r>
    </w:p>
    <w:p>
      <w:r>
        <w:t>Notices under this Agreement shall be in writing and delivered by recognized courier, registered post, or email to the addresses below. A notice sent by email shall be deemed received when the sender receives an automated delivery confirmation or a written acknowledgment from the recipient.</w:t>
      </w:r>
    </w:p>
    <w:p>
      <w:r>
        <w:t>Provider notice address: legal@northstar.example</w:t>
      </w:r>
    </w:p>
    <w:p>
      <w:r>
        <w:t>Customer notice address: contracts@meridian.example</w:t>
      </w:r>
    </w:p>
    <w:p>
      <w:pPr>
        <w:pStyle w:val="Heading1"/>
      </w:pPr>
      <w:r>
        <w:t>16. Assignment</w:t>
      </w:r>
    </w:p>
    <w:p>
      <w:r>
        <w:t>Neither Party may assign this Agreement without the prior written consent of the other Party, except that either Party may assign the Agreement without consent to an affiliate or in connection with a merger, corporate reorganization, or sale of substantially all of its assets, provided the assignee assumes the assigning Party’s obligations.</w:t>
      </w:r>
    </w:p>
    <w:p>
      <w:pPr>
        <w:pStyle w:val="Heading1"/>
      </w:pPr>
      <w:r>
        <w:t>17. Miscellaneous</w:t>
      </w:r>
    </w:p>
    <w:p>
      <w:r>
        <w:t>This Agreement, including its Schedules, constitutes the entire agreement between the Parties concerning its subject matter and supersedes prior discussions and agreements concerning that subject matter. Any amendment must be in writing and signed by authorized representatives of both Parties.</w:t>
      </w:r>
    </w:p>
    <w:p>
      <w:r>
        <w:t>If any provision is held unenforceable, the remaining provisions shall remain in effect, and the Parties shall attempt in good faith to replace the unenforceable provision with an enforceable provision that most closely reflects the original commercial intent.</w:t>
      </w:r>
    </w:p>
    <w:p>
      <w:r>
        <w:t>A waiver of any breach is not a waiver of any subsequent breach. No provision of this Agreement is intended to create a partnership, agency, fiduciary relationship, or joint venture between the Parties.</w:t>
      </w:r>
    </w:p>
    <w:p>
      <w:pPr>
        <w:pStyle w:val="Heading1"/>
      </w:pPr>
      <w:r>
        <w:t>18. Signature</w:t>
      </w:r>
    </w:p>
    <w:p>
      <w:r>
        <w:t>IN WITNESS WHEREOF, the Parties have caused this Agreement to be executed by their duly authorized representatives.</w:t>
      </w:r>
    </w:p>
    <w:tbl>
      <w:tblPr>
        <w:tblStyle w:val="TableGrid"/>
        <w:tblW w:type="auto" w:w="0"/>
        <w:tblLook w:firstColumn="1" w:firstRow="1" w:lastColumn="0" w:lastRow="0" w:noHBand="0" w:noVBand="1" w:val="04A0"/>
      </w:tblPr>
      <w:tblGrid>
        <w:gridCol w:w="4320"/>
        <w:gridCol w:w="4320"/>
      </w:tblGrid>
      <w:tr>
        <w:tc>
          <w:tcPr>
            <w:tcW w:type="dxa" w:w="4320"/>
          </w:tcPr>
          <w:p>
            <w:r>
              <w:t>NORTHSTAR ANALYTICS PVT. LTD.</w:t>
            </w:r>
          </w:p>
        </w:tc>
        <w:tc>
          <w:tcPr>
            <w:tcW w:type="dxa" w:w="4320"/>
          </w:tcPr>
          <w:p>
            <w:r>
              <w:t>MERIDIAN RETAIL SOLUTIONS LTD.</w:t>
            </w:r>
          </w:p>
        </w:tc>
      </w:tr>
      <w:tr>
        <w:tc>
          <w:tcPr>
            <w:tcW w:type="dxa" w:w="4320"/>
          </w:tcPr>
          <w:p>
            <w:r>
              <w:t>By: ______________________________</w:t>
              <w:br/>
              <w:t>Name: Priya Sharma</w:t>
              <w:br/>
              <w:t>Title: Chief Executive Officer</w:t>
              <w:br/>
              <w:t>Date: 1 October 2026</w:t>
            </w:r>
          </w:p>
        </w:tc>
        <w:tc>
          <w:tcPr>
            <w:tcW w:type="dxa" w:w="4320"/>
          </w:tcPr>
          <w:p>
            <w:r>
              <w:t>By: ______________________________</w:t>
              <w:br/>
              <w:t>Name: Arjun Mehta</w:t>
              <w:br/>
              <w:t>Title: Chief Operating Officer</w:t>
              <w:br/>
              <w:t>Date: 1 October 2026</w:t>
            </w:r>
          </w:p>
        </w:tc>
      </w:tr>
      <w:tr>
        <w:tc>
          <w:tcPr>
            <w:tcW w:type="dxa" w:w="4320"/>
          </w:tcPr>
          <w:p>
            <w:r>
              <w:t>Witness: _________________________</w:t>
            </w:r>
          </w:p>
        </w:tc>
        <w:tc>
          <w:tcPr>
            <w:tcW w:type="dxa" w:w="4320"/>
          </w:tcPr>
          <w:p>
            <w:r>
              <w:t>Witness: _________________________</w:t>
            </w:r>
          </w:p>
        </w:tc>
      </w:tr>
    </w:tbl>
    <w:p>
      <w:pPr>
        <w:pStyle w:val="Heading1"/>
      </w:pPr>
      <w:r>
        <w:t>Schedule A — Commercial Terms</w:t>
      </w:r>
    </w:p>
    <w:p>
      <w:r>
        <w:t>1. Implementation Fee: INR 18,00,000, payable 50% on signing and 50% upon production launch.</w:t>
      </w:r>
    </w:p>
    <w:p>
      <w:r>
        <w:t>2. Subscription Fee: INR 4,50,000 per month, billed quarterly in advance.</w:t>
      </w:r>
    </w:p>
    <w:p>
      <w:r>
        <w:t>3. Target Production Launch: 15 December 2026.</w:t>
      </w:r>
    </w:p>
    <w:p>
      <w:r>
        <w:t>4. Support: Business-hours support, Monday through Friday, excluding public holidays in Telangana.</w:t>
      </w:r>
    </w:p>
    <w:p>
      <w:r>
        <w:t>5. Service Credit: If monthly availability falls below 99.5%, Customer may request a service credit equal to 5% of the affected monthly subscription fee.</w:t>
      </w:r>
    </w:p>
    <w:p>
      <w:r>
        <w:t>6. Renewal Pricing: Subscription fees may increase by up to 8% at each annual renewal upon thirty (30) days’ prior notice.</w:t>
      </w:r>
    </w:p>
    <w:p>
      <w:pPr>
        <w:pStyle w:val="Heading1"/>
      </w:pPr>
      <w:r>
        <w:t>Potential Analysis Traps (Intentionally Embedded)</w:t>
      </w:r>
    </w:p>
    <w:p>
      <w:pPr>
        <w:pStyle w:val="ListBullet"/>
      </w:pPr>
      <w:r>
        <w:t>Term inconsistency risk: the Agreement auto-renews annually, while the convenience termination right is limited to the first six months.</w:t>
      </w:r>
    </w:p>
    <w:p>
      <w:pPr>
        <w:pStyle w:val="ListBullet"/>
      </w:pPr>
      <w:r>
        <w:t>Liability-cap ambiguity: the cap excludes indemnification obligations but the indemnification section contains no express monetary cap.</w:t>
      </w:r>
    </w:p>
    <w:p>
      <w:pPr>
        <w:pStyle w:val="ListBullet"/>
      </w:pPr>
      <w:r>
        <w:t>Data-use scope: Provider may use Customer Data to “improve” the Services, which may warrant closer review.</w:t>
      </w:r>
    </w:p>
    <w:p>
      <w:pPr>
        <w:pStyle w:val="ListBullet"/>
      </w:pPr>
      <w:r>
        <w:t>International processing: the data section permits processing in several jurisdictions without a detailed transfer mechanism.</w:t>
      </w:r>
    </w:p>
    <w:p>
      <w:pPr>
        <w:pStyle w:val="ListBullet"/>
      </w:pPr>
      <w:r>
        <w:t>Notice mechanics: email notice depends on delivery confirmation or written acknowledgment, which may create proof-of-receipt questions.</w:t>
      </w:r>
    </w:p>
    <w:p>
      <w:pPr>
        <w:pStyle w:val="ListBullet"/>
      </w:pPr>
      <w:r>
        <w:t>Service-level remedy: the availability credit is described as a right to request a credit, rather than clearly stating whether it is automatic.</w:t>
      </w:r>
    </w:p>
    <w:p>
      <w:pPr>
        <w:pStyle w:val="ListBullet"/>
      </w:pPr>
      <w:r>
        <w:t>Audit scope: the audit right addresses security compliance but does not expressly address confidentiality safeguards for audit materials.</w:t>
      </w:r>
    </w:p>
    <w:p>
      <w:pPr>
        <w:pStyle w:val="ListBullet"/>
      </w:pPr>
      <w:r>
        <w:t>Governing law versus forum: Indian law is selected, with Hyderabad courts identified, while urgent relief may be sought elsewhere.</w:t>
      </w:r>
    </w:p>
    <w:p>
      <w:pPr>
        <w:pStyle w:val="ListBullet"/>
      </w:pPr>
      <w:r>
        <w:t>Commercial mismatch to investigate: the implementation fee is payable partly at launch, while the target launch date is not expressly tied to a firm delivery obligation.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