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A68"/>
          <w:sz w:val="40"/>
          <w:szCs w:val="40"/>
        </w:rPr>
        <w:t xml:space="preserve">HARSHAVARDHAN KADUDURI</w:t>
      </w:r>
    </w:p>
    <w:p>
      <w:pPr>
        <w:spacing w:after="40"/>
        <w:jc w:val="center"/>
      </w:pPr>
      <w:r>
        <w:rPr>
          <w:rFonts w:ascii="Calibri" w:cs="Calibri" w:eastAsia="Calibri" w:hAnsi="Calibri"/>
          <w:color w:val="444444"/>
          <w:sz w:val="20"/>
          <w:szCs w:val="20"/>
        </w:rPr>
        <w:t xml:space="preserve">Pune / Hyderabad, India  •  +91 6303670846  •  </w:t>
      </w:r>
      <w:hyperlink w:history="1" r:id="rIdxemun63ehfaqyqppsjhkz">
        <w:r>
          <w:rPr>
            <w:rFonts w:ascii="Calibri" w:cs="Calibri" w:eastAsia="Calibri" w:hAnsi="Calibri"/>
            <w:color w:val="1F3A68"/>
            <w:sz w:val="20"/>
            <w:szCs w:val="20"/>
            <w:u w:val="single"/>
          </w:rPr>
          <w:t xml:space="preserve">naniharsha948@gmail.com</w:t>
        </w:r>
      </w:hyperlink>
    </w:p>
    <w:p>
      <w:pPr>
        <w:spacing w:after="80"/>
        <w:jc w:val="center"/>
      </w:pPr>
      <w:hyperlink w:history="1" r:id="rIdxr6t3-k1-zwgeyzrh1kim">
        <w:r>
          <w:rPr>
            <w:rFonts w:ascii="Calibri" w:cs="Calibri" w:eastAsia="Calibri" w:hAnsi="Calibri"/>
            <w:color w:val="1F3A68"/>
            <w:sz w:val="20"/>
            <w:szCs w:val="20"/>
            <w:u w:val="single"/>
          </w:rPr>
          <w:t xml:space="preserve">GitHub</w:t>
        </w:r>
      </w:hyperlink>
      <w:r>
        <w:rPr>
          <w:rFonts w:ascii="Calibri" w:cs="Calibri" w:eastAsia="Calibri" w:hAnsi="Calibri"/>
          <w:color w:val="888888"/>
          <w:sz w:val="20"/>
          <w:szCs w:val="20"/>
        </w:rPr>
        <w:t xml:space="preserve">   |   </w:t>
      </w:r>
      <w:hyperlink w:history="1" r:id="rIdtmc21_jkeoqx6yvx60st4">
        <w:r>
          <w:rPr>
            <w:rFonts w:ascii="Calibri" w:cs="Calibri" w:eastAsia="Calibri" w:hAnsi="Calibri"/>
            <w:color w:val="1F3A68"/>
            <w:sz w:val="20"/>
            <w:szCs w:val="20"/>
            <w:u w:val="single"/>
          </w:rPr>
          <w:t xml:space="preserve">LinkedIn</w:t>
        </w:r>
      </w:hyperlink>
      <w:r>
        <w:rPr>
          <w:rFonts w:ascii="Calibri" w:cs="Calibri" w:eastAsia="Calibri" w:hAnsi="Calibri"/>
          <w:color w:val="888888"/>
          <w:sz w:val="20"/>
          <w:szCs w:val="20"/>
        </w:rPr>
        <w:t xml:space="preserve">   |   </w:t>
      </w:r>
      <w:hyperlink w:history="1" r:id="rId7c5xuhwy5edgdfzxvb-da">
        <w:r>
          <w:rPr>
            <w:rFonts w:ascii="Calibri" w:cs="Calibri" w:eastAsia="Calibri" w:hAnsi="Calibri"/>
            <w:color w:val="1F3A68"/>
            <w:sz w:val="20"/>
            <w:szCs w:val="20"/>
            <w:u w:val="single"/>
          </w:rPr>
          <w:t xml:space="preserve">Portfolio</w:t>
        </w:r>
      </w:hyperlink>
    </w:p>
    <w:p>
      <w:pPr>
        <w:pBdr>
          <w:bottom w:val="single" w:color="1F3A68" w:sz="8" w:space="1"/>
        </w:pBdr>
        <w:spacing w:after="120" w:before="40"/>
      </w:pPr>
      <w:r>
        <w:t xml:space="preserve"/>
      </w:r>
    </w:p>
    <w:p>
      <w:pPr>
        <w:pBdr>
          <w:bottom w:val="single" w:color="1F3A68" w:sz="8" w:space="2"/>
        </w:pBdr>
        <w:spacing w:after="60" w:before="240"/>
      </w:pPr>
      <w:r>
        <w:rPr>
          <w:rFonts w:ascii="Calibri" w:cs="Calibri" w:eastAsia="Calibri" w:hAnsi="Calibri"/>
          <w:b/>
          <w:bCs/>
          <w:color w:val="1F3A68"/>
          <w:sz w:val="26"/>
          <w:szCs w:val="26"/>
        </w:rPr>
        <w:t xml:space="preserve">SUMMARY</w:t>
      </w:r>
    </w:p>
    <w:p>
      <w:pPr>
        <w:spacing w:after="60" w:before="60"/>
        <w:jc w:val="both"/>
      </w:pPr>
      <w:r>
        <w:rPr>
          <w:rFonts w:ascii="Calibri" w:cs="Calibri" w:eastAsia="Calibri" w:hAnsi="Calibri"/>
          <w:sz w:val="22"/>
          <w:szCs w:val="22"/>
        </w:rPr>
        <w:t xml:space="preserve">Final-year Computer Science Engineering student with hands-on experience across data science, analytical software development, and visualization. Skilled in Python, JavaScript, SQL and R, with practical exposure to machine learning, predictive modelling, and end-to-end data pipelines using Pandas, NumPy, Matplotlib, Seaborn, Power BI, and Tableau. Comfortable applying OOP principles and SDLC practices in an agile environment to build and deploy analytical tools, automate workflows, and produce clear documentation. Looking to contribute to Rolls-Royce Power Systems' digitalization initiatives in Maintenance Repair &amp; Overhaul, Guided Troubleshooting, and Equipment Health Monitoring as a Software Development and Data Science Intern.</w:t>
      </w:r>
    </w:p>
    <w:p>
      <w:pPr>
        <w:pBdr>
          <w:bottom w:val="single" w:color="1F3A68" w:sz="8" w:space="2"/>
        </w:pBdr>
        <w:spacing w:after="60" w:before="240"/>
      </w:pPr>
      <w:r>
        <w:rPr>
          <w:rFonts w:ascii="Calibri" w:cs="Calibri" w:eastAsia="Calibri" w:hAnsi="Calibri"/>
          <w:b/>
          <w:bCs/>
          <w:color w:val="1F3A68"/>
          <w:sz w:val="26"/>
          <w:szCs w:val="26"/>
        </w:rPr>
        <w:t xml:space="preserve">TECHNICAL SKILLS</w:t>
      </w:r>
    </w:p>
    <w:p>
      <w:pPr>
        <w:pStyle w:val="ListParagraph"/>
        <w:numPr>
          <w:ilvl w:val="0"/>
          <w:numId w:val="2"/>
        </w:numPr>
        <w:spacing w:after="20" w:before="20"/>
      </w:pPr>
      <w:r>
        <w:rPr>
          <w:rFonts w:ascii="Calibri" w:cs="Calibri" w:eastAsia="Calibri" w:hAnsi="Calibri"/>
          <w:b/>
          <w:bCs/>
          <w:sz w:val="22"/>
          <w:szCs w:val="22"/>
        </w:rPr>
        <w:t xml:space="preserve">Programming &amp; Scripting: </w:t>
      </w:r>
      <w:r>
        <w:rPr>
          <w:rFonts w:ascii="Calibri" w:cs="Calibri" w:eastAsia="Calibri" w:hAnsi="Calibri"/>
          <w:sz w:val="22"/>
          <w:szCs w:val="22"/>
        </w:rPr>
        <w:t xml:space="preserve">Python, JavaScript, R, SQL; familiar with C-family / OOP languages and open to upskilling in C#.</w:t>
      </w:r>
    </w:p>
    <w:p>
      <w:pPr>
        <w:pStyle w:val="ListParagraph"/>
        <w:numPr>
          <w:ilvl w:val="0"/>
          <w:numId w:val="2"/>
        </w:numPr>
        <w:spacing w:after="20" w:before="20"/>
      </w:pPr>
      <w:r>
        <w:rPr>
          <w:rFonts w:ascii="Calibri" w:cs="Calibri" w:eastAsia="Calibri" w:hAnsi="Calibri"/>
          <w:b/>
          <w:bCs/>
          <w:sz w:val="22"/>
          <w:szCs w:val="22"/>
        </w:rPr>
        <w:t xml:space="preserve">Software Engineering: </w:t>
      </w:r>
      <w:r>
        <w:rPr>
          <w:rFonts w:ascii="Calibri" w:cs="Calibri" w:eastAsia="Calibri" w:hAnsi="Calibri"/>
          <w:sz w:val="22"/>
          <w:szCs w:val="22"/>
        </w:rPr>
        <w:t xml:space="preserve">Software Development Life Cycle (SDLC), Object-Oriented Programming (OOP), Agile methodologies, version control, documentation.</w:t>
      </w:r>
    </w:p>
    <w:p>
      <w:pPr>
        <w:pStyle w:val="ListParagraph"/>
        <w:numPr>
          <w:ilvl w:val="0"/>
          <w:numId w:val="2"/>
        </w:numPr>
        <w:spacing w:after="20" w:before="20"/>
      </w:pPr>
      <w:r>
        <w:rPr>
          <w:rFonts w:ascii="Calibri" w:cs="Calibri" w:eastAsia="Calibri" w:hAnsi="Calibri"/>
          <w:b/>
          <w:bCs/>
          <w:sz w:val="22"/>
          <w:szCs w:val="22"/>
        </w:rPr>
        <w:t xml:space="preserve">Data Science &amp; Machine Learning: </w:t>
      </w:r>
      <w:r>
        <w:rPr>
          <w:rFonts w:ascii="Calibri" w:cs="Calibri" w:eastAsia="Calibri" w:hAnsi="Calibri"/>
          <w:sz w:val="22"/>
          <w:szCs w:val="22"/>
        </w:rPr>
        <w:t xml:space="preserve">Predictive analytics, statistical analysis, supervised ML algorithms, model evaluation, data preprocessing, feature engineering.</w:t>
      </w:r>
    </w:p>
    <w:p>
      <w:pPr>
        <w:pStyle w:val="ListParagraph"/>
        <w:numPr>
          <w:ilvl w:val="0"/>
          <w:numId w:val="2"/>
        </w:numPr>
        <w:spacing w:after="20" w:before="20"/>
      </w:pPr>
      <w:r>
        <w:rPr>
          <w:rFonts w:ascii="Calibri" w:cs="Calibri" w:eastAsia="Calibri" w:hAnsi="Calibri"/>
          <w:b/>
          <w:bCs/>
          <w:sz w:val="22"/>
          <w:szCs w:val="22"/>
        </w:rPr>
        <w:t xml:space="preserve">Data Handling &amp; Databases: </w:t>
      </w:r>
      <w:r>
        <w:rPr>
          <w:rFonts w:ascii="Calibri" w:cs="Calibri" w:eastAsia="Calibri" w:hAnsi="Calibri"/>
          <w:sz w:val="22"/>
          <w:szCs w:val="22"/>
        </w:rPr>
        <w:t xml:space="preserve">MySQL, SQL, Pandas, NumPy; exposure to large-dataset cleaning, transformation, and ETL-style workflows.</w:t>
      </w:r>
    </w:p>
    <w:p>
      <w:pPr>
        <w:pStyle w:val="ListParagraph"/>
        <w:numPr>
          <w:ilvl w:val="0"/>
          <w:numId w:val="2"/>
        </w:numPr>
        <w:spacing w:after="20" w:before="20"/>
      </w:pPr>
      <w:r>
        <w:rPr>
          <w:rFonts w:ascii="Calibri" w:cs="Calibri" w:eastAsia="Calibri" w:hAnsi="Calibri"/>
          <w:b/>
          <w:bCs/>
          <w:sz w:val="22"/>
          <w:szCs w:val="22"/>
        </w:rPr>
        <w:t xml:space="preserve">Visualization &amp; BI: </w:t>
      </w:r>
      <w:r>
        <w:rPr>
          <w:rFonts w:ascii="Calibri" w:cs="Calibri" w:eastAsia="Calibri" w:hAnsi="Calibri"/>
          <w:sz w:val="22"/>
          <w:szCs w:val="22"/>
        </w:rPr>
        <w:t xml:space="preserve">Power BI, Tableau, Matplotlib, Seaborn — building dashboards and reports to communicate insights to non-technical stakeholders.</w:t>
      </w:r>
    </w:p>
    <w:p>
      <w:pPr>
        <w:pStyle w:val="ListParagraph"/>
        <w:numPr>
          <w:ilvl w:val="0"/>
          <w:numId w:val="2"/>
        </w:numPr>
        <w:spacing w:after="20" w:before="20"/>
      </w:pPr>
      <w:r>
        <w:rPr>
          <w:rFonts w:ascii="Calibri" w:cs="Calibri" w:eastAsia="Calibri" w:hAnsi="Calibri"/>
          <w:b/>
          <w:bCs/>
          <w:sz w:val="22"/>
          <w:szCs w:val="22"/>
        </w:rPr>
        <w:t xml:space="preserve">Web Development: </w:t>
      </w:r>
      <w:r>
        <w:rPr>
          <w:rFonts w:ascii="Calibri" w:cs="Calibri" w:eastAsia="Calibri" w:hAnsi="Calibri"/>
          <w:sz w:val="22"/>
          <w:szCs w:val="22"/>
        </w:rPr>
        <w:t xml:space="preserve">HTML, CSS, JavaScript — comfortable building UI components and interactive dashboards.</w:t>
      </w:r>
    </w:p>
    <w:p>
      <w:pPr>
        <w:pStyle w:val="ListParagraph"/>
        <w:numPr>
          <w:ilvl w:val="0"/>
          <w:numId w:val="2"/>
        </w:numPr>
        <w:spacing w:after="20" w:before="20"/>
      </w:pPr>
      <w:r>
        <w:rPr>
          <w:rFonts w:ascii="Calibri" w:cs="Calibri" w:eastAsia="Calibri" w:hAnsi="Calibri"/>
          <w:b/>
          <w:bCs/>
          <w:sz w:val="22"/>
          <w:szCs w:val="22"/>
        </w:rPr>
        <w:t xml:space="preserve">Cloud &amp; Tools: </w:t>
      </w:r>
      <w:r>
        <w:rPr>
          <w:rFonts w:ascii="Calibri" w:cs="Calibri" w:eastAsia="Calibri" w:hAnsi="Calibri"/>
          <w:sz w:val="22"/>
          <w:szCs w:val="22"/>
        </w:rPr>
        <w:t xml:space="preserve">Oracle Cloud Infrastructure (Data Science), Git/GitHub.</w:t>
      </w:r>
    </w:p>
    <w:p>
      <w:pPr>
        <w:pBdr>
          <w:bottom w:val="single" w:color="1F3A68" w:sz="8" w:space="2"/>
        </w:pBdr>
        <w:spacing w:after="60" w:before="240"/>
      </w:pPr>
      <w:r>
        <w:rPr>
          <w:rFonts w:ascii="Calibri" w:cs="Calibri" w:eastAsia="Calibri" w:hAnsi="Calibri"/>
          <w:b/>
          <w:bCs/>
          <w:color w:val="1F3A68"/>
          <w:sz w:val="26"/>
          <w:szCs w:val="26"/>
        </w:rPr>
        <w:t xml:space="preserve">INTERNSHIP</w:t>
      </w:r>
    </w:p>
    <w:p>
      <w:pPr>
        <w:tabs>
          <w:tab w:val="right" w:pos="9026"/>
        </w:tabs>
        <w:spacing w:after="20" w:before="80"/>
      </w:pPr>
      <w:r>
        <w:rPr>
          <w:rFonts w:ascii="Calibri" w:cs="Calibri" w:eastAsia="Calibri" w:hAnsi="Calibri"/>
          <w:b/>
          <w:bCs/>
          <w:sz w:val="24"/>
          <w:szCs w:val="24"/>
        </w:rPr>
        <w:t xml:space="preserve">AI-ML Intern</w:t>
      </w:r>
      <w:r>
        <w:rPr>
          <w:rFonts w:ascii="Calibri" w:cs="Calibri" w:eastAsia="Calibri" w:hAnsi="Calibri"/>
          <w:sz w:val="22"/>
          <w:szCs w:val="22"/>
        </w:rPr>
        <w:t xml:space="preserve">  •  Tech Saksham (Microsoft &amp; SAP CSR initiative, implemented by Edunet Foundation)</w:t>
      </w:r>
      <w:r>
        <w:rPr>
          <w:rFonts w:ascii="Calibri" w:cs="Calibri" w:eastAsia="Calibri" w:hAnsi="Calibri"/>
          <w:i/>
          <w:iCs/>
          <w:color w:val="555555"/>
          <w:sz w:val="22"/>
          <w:szCs w:val="22"/>
        </w:rPr>
        <w:t xml:space="preserve">	Feb 2025</w:t>
      </w:r>
    </w:p>
    <w:p>
      <w:pPr>
        <w:pStyle w:val="ListParagraph"/>
        <w:numPr>
          <w:ilvl w:val="0"/>
          <w:numId w:val="2"/>
        </w:numPr>
        <w:spacing w:after="20" w:before="20"/>
      </w:pPr>
      <w:r>
        <w:rPr>
          <w:rFonts w:ascii="Calibri" w:cs="Calibri" w:eastAsia="Calibri" w:hAnsi="Calibri"/>
          <w:sz w:val="22"/>
          <w:szCs w:val="22"/>
        </w:rPr>
        <w:t xml:space="preserve">Completed an intensive program on AI: Transformative Learning, working on real-world applications of artificial intelligence and machine learning.</w:t>
      </w:r>
    </w:p>
    <w:p>
      <w:pPr>
        <w:pStyle w:val="ListParagraph"/>
        <w:numPr>
          <w:ilvl w:val="0"/>
          <w:numId w:val="2"/>
        </w:numPr>
        <w:spacing w:after="20" w:before="20"/>
      </w:pPr>
      <w:r>
        <w:rPr>
          <w:rFonts w:ascii="Calibri" w:cs="Calibri" w:eastAsia="Calibri" w:hAnsi="Calibri"/>
          <w:sz w:val="22"/>
          <w:szCs w:val="22"/>
        </w:rPr>
        <w:t xml:space="preserve">Built and evaluated predictive models on practical datasets using Python — strengthening end-to-end ML lifecycle exposure: data preparation, model training, evaluation, and deployment-ready packaging.</w:t>
      </w:r>
    </w:p>
    <w:p>
      <w:pPr>
        <w:pStyle w:val="ListParagraph"/>
        <w:numPr>
          <w:ilvl w:val="0"/>
          <w:numId w:val="2"/>
        </w:numPr>
        <w:spacing w:after="20" w:before="20"/>
      </w:pPr>
      <w:r>
        <w:rPr>
          <w:rFonts w:ascii="Calibri" w:cs="Calibri" w:eastAsia="Calibri" w:hAnsi="Calibri"/>
          <w:sz w:val="22"/>
          <w:szCs w:val="22"/>
        </w:rPr>
        <w:t xml:space="preserve">Practiced sprint-based, agile delivery while collaborating with mentors and peers; produced clear technical documentation summarising methodology and outcomes.</w:t>
      </w:r>
    </w:p>
    <w:p>
      <w:pPr>
        <w:pBdr>
          <w:bottom w:val="single" w:color="1F3A68" w:sz="8" w:space="2"/>
        </w:pBdr>
        <w:spacing w:after="60" w:before="240"/>
      </w:pPr>
      <w:r>
        <w:rPr>
          <w:rFonts w:ascii="Calibri" w:cs="Calibri" w:eastAsia="Calibri" w:hAnsi="Calibri"/>
          <w:b/>
          <w:bCs/>
          <w:color w:val="1F3A68"/>
          <w:sz w:val="26"/>
          <w:szCs w:val="26"/>
        </w:rPr>
        <w:t xml:space="preserve">PROJECTS</w:t>
      </w:r>
    </w:p>
    <w:p>
      <w:pPr>
        <w:tabs>
          <w:tab w:val="right" w:pos="9026"/>
        </w:tabs>
        <w:spacing w:after="20" w:before="80"/>
      </w:pPr>
      <w:r>
        <w:rPr>
          <w:rFonts w:ascii="Calibri" w:cs="Calibri" w:eastAsia="Calibri" w:hAnsi="Calibri"/>
          <w:b/>
          <w:bCs/>
          <w:sz w:val="24"/>
          <w:szCs w:val="24"/>
        </w:rPr>
        <w:t xml:space="preserve">Customer Purchase Behaviour Analysis &amp; Predictive Insights</w:t>
      </w:r>
      <w:r>
        <w:rPr>
          <w:rFonts w:ascii="Calibri" w:cs="Calibri" w:eastAsia="Calibri" w:hAnsi="Calibri"/>
          <w:i/>
          <w:iCs/>
          <w:color w:val="555555"/>
          <w:sz w:val="22"/>
          <w:szCs w:val="22"/>
        </w:rPr>
        <w:t xml:space="preserve">	Mar 2024</w:t>
      </w:r>
    </w:p>
    <w:p>
      <w:pPr>
        <w:pStyle w:val="ListParagraph"/>
        <w:numPr>
          <w:ilvl w:val="0"/>
          <w:numId w:val="2"/>
        </w:numPr>
        <w:spacing w:after="20" w:before="20"/>
      </w:pPr>
      <w:r>
        <w:rPr>
          <w:rFonts w:ascii="Calibri" w:cs="Calibri" w:eastAsia="Calibri" w:hAnsi="Calibri"/>
          <w:sz w:val="22"/>
          <w:szCs w:val="22"/>
        </w:rPr>
        <w:t xml:space="preserve">Built an end-to-end analytics pipeline on retail transactional data: cleaned and normalised datasets, handled missing values, and engineered features using Pandas and NumPy.</w:t>
      </w:r>
    </w:p>
    <w:p>
      <w:pPr>
        <w:pStyle w:val="ListParagraph"/>
        <w:numPr>
          <w:ilvl w:val="0"/>
          <w:numId w:val="2"/>
        </w:numPr>
        <w:spacing w:after="20" w:before="20"/>
      </w:pPr>
      <w:r>
        <w:rPr>
          <w:rFonts w:ascii="Calibri" w:cs="Calibri" w:eastAsia="Calibri" w:hAnsi="Calibri"/>
          <w:sz w:val="22"/>
          <w:szCs w:val="22"/>
        </w:rPr>
        <w:t xml:space="preserve">Performed exploratory data analysis with Matplotlib and Seaborn to surface trends, customer segments, and seasonal patterns; authored SQL queries to extract top-selling products, peak shopping hours, and retention metrics.</w:t>
      </w:r>
    </w:p>
    <w:p>
      <w:pPr>
        <w:pStyle w:val="ListParagraph"/>
        <w:numPr>
          <w:ilvl w:val="0"/>
          <w:numId w:val="2"/>
        </w:numPr>
        <w:spacing w:after="20" w:before="20"/>
      </w:pPr>
      <w:r>
        <w:rPr>
          <w:rFonts w:ascii="Calibri" w:cs="Calibri" w:eastAsia="Calibri" w:hAnsi="Calibri"/>
          <w:sz w:val="22"/>
          <w:szCs w:val="22"/>
        </w:rPr>
        <w:t xml:space="preserve">Designed interactive Tableau dashboards to communicate findings, enabling data-driven inventory and marketing decisions for stakeholders.</w:t>
      </w:r>
    </w:p>
    <w:p>
      <w:pPr>
        <w:pStyle w:val="ListParagraph"/>
        <w:numPr>
          <w:ilvl w:val="0"/>
          <w:numId w:val="2"/>
        </w:numPr>
        <w:spacing w:after="20" w:before="20"/>
      </w:pPr>
      <w:r>
        <w:rPr>
          <w:rFonts w:ascii="Calibri" w:cs="Calibri" w:eastAsia="Calibri" w:hAnsi="Calibri"/>
          <w:sz w:val="22"/>
          <w:szCs w:val="22"/>
        </w:rPr>
        <w:t xml:space="preserve">Documented the methodology, data flow, and insights for reproducibility — mirroring the documentation discipline expected in production analytics workflows.</w:t>
      </w:r>
    </w:p>
    <w:p>
      <w:pPr>
        <w:pBdr>
          <w:bottom w:val="single" w:color="1F3A68" w:sz="8" w:space="2"/>
        </w:pBdr>
        <w:spacing w:after="60" w:before="240"/>
      </w:pPr>
      <w:r>
        <w:rPr>
          <w:rFonts w:ascii="Calibri" w:cs="Calibri" w:eastAsia="Calibri" w:hAnsi="Calibri"/>
          <w:b/>
          <w:bCs/>
          <w:color w:val="1F3A68"/>
          <w:sz w:val="26"/>
          <w:szCs w:val="26"/>
        </w:rPr>
        <w:t xml:space="preserve">EDUCATION</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880"/>
      </w:tblGrid>
      <w:tr>
        <w:trPr>
          <w:tblHeader/>
        </w:trPr>
        <w:tc>
          <w:tcPr>
            <w:tcW w:type="dxa" w:w="4400"/>
            <w:tcBorders>
              <w:top w:val="single" w:color="C8D0DC" w:sz="4"/>
              <w:left w:val="single" w:color="C8D0DC" w:sz="4"/>
              <w:bottom w:val="single" w:color="C8D0DC" w:sz="4"/>
              <w:right w:val="single" w:color="C8D0DC" w:sz="4"/>
            </w:tcBorders>
            <w:shd w:fill="EAEFF7" w:val="clear"/>
            <w:tcMar>
              <w:top w:type="dxa" w:w="100"/>
              <w:left w:type="dxa" w:w="140"/>
              <w:bottom w:type="dxa" w:w="100"/>
              <w:right w:type="dxa" w:w="140"/>
            </w:tcMar>
          </w:tcPr>
          <w:p>
            <w:r>
              <w:rPr>
                <w:rFonts w:ascii="Calibri" w:cs="Calibri" w:eastAsia="Calibri" w:hAnsi="Calibri"/>
                <w:b/>
                <w:bCs/>
                <w:color w:val="1F3A68"/>
                <w:sz w:val="22"/>
                <w:szCs w:val="22"/>
              </w:rPr>
              <w:t xml:space="preserve">Institution</w:t>
            </w:r>
          </w:p>
        </w:tc>
        <w:tc>
          <w:tcPr>
            <w:tcW w:type="dxa" w:w="1800"/>
            <w:tcBorders>
              <w:top w:val="single" w:color="C8D0DC" w:sz="4"/>
              <w:left w:val="single" w:color="C8D0DC" w:sz="4"/>
              <w:bottom w:val="single" w:color="C8D0DC" w:sz="4"/>
              <w:right w:val="single" w:color="C8D0DC" w:sz="4"/>
            </w:tcBorders>
            <w:shd w:fill="EAEFF7" w:val="clear"/>
            <w:tcMar>
              <w:top w:type="dxa" w:w="100"/>
              <w:left w:type="dxa" w:w="140"/>
              <w:bottom w:type="dxa" w:w="100"/>
              <w:right w:type="dxa" w:w="140"/>
            </w:tcMar>
          </w:tcPr>
          <w:p>
            <w:r>
              <w:rPr>
                <w:rFonts w:ascii="Calibri" w:cs="Calibri" w:eastAsia="Calibri" w:hAnsi="Calibri"/>
                <w:b/>
                <w:bCs/>
                <w:color w:val="1F3A68"/>
                <w:sz w:val="22"/>
                <w:szCs w:val="22"/>
              </w:rPr>
              <w:t xml:space="preserve">Duration</w:t>
            </w:r>
          </w:p>
        </w:tc>
        <w:tc>
          <w:tcPr>
            <w:tcW w:type="dxa" w:w="3880"/>
            <w:tcBorders>
              <w:top w:val="single" w:color="C8D0DC" w:sz="4"/>
              <w:left w:val="single" w:color="C8D0DC" w:sz="4"/>
              <w:bottom w:val="single" w:color="C8D0DC" w:sz="4"/>
              <w:right w:val="single" w:color="C8D0DC" w:sz="4"/>
            </w:tcBorders>
            <w:shd w:fill="EAEFF7" w:val="clear"/>
            <w:tcMar>
              <w:top w:type="dxa" w:w="100"/>
              <w:left w:type="dxa" w:w="140"/>
              <w:bottom w:type="dxa" w:w="100"/>
              <w:right w:type="dxa" w:w="140"/>
            </w:tcMar>
          </w:tcPr>
          <w:p>
            <w:r>
              <w:rPr>
                <w:rFonts w:ascii="Calibri" w:cs="Calibri" w:eastAsia="Calibri" w:hAnsi="Calibri"/>
                <w:b/>
                <w:bCs/>
                <w:color w:val="1F3A68"/>
                <w:sz w:val="22"/>
                <w:szCs w:val="22"/>
              </w:rPr>
              <w:t xml:space="preserve">Qualification &amp; Score</w:t>
            </w:r>
          </w:p>
        </w:tc>
      </w:tr>
      <w:tr>
        <w:tc>
          <w:tcPr>
            <w:tcW w:type="dxa" w:w="4400"/>
            <w:tcBorders>
              <w:top w:val="single" w:color="C8D0DC" w:sz="4"/>
              <w:left w:val="single" w:color="C8D0DC" w:sz="4"/>
              <w:bottom w:val="single" w:color="C8D0DC" w:sz="4"/>
              <w:right w:val="single" w:color="C8D0D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2"/>
                <w:szCs w:val="22"/>
              </w:rPr>
              <w:t xml:space="preserve">Guru Nanak Institute of Technology, Hyderabad</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2"/>
                <w:szCs w:val="22"/>
              </w:rPr>
              <w:t xml:space="preserve">2022 – 2026</w:t>
            </w:r>
          </w:p>
        </w:tc>
        <w:tc>
          <w:tcPr>
            <w:tcW w:type="dxa" w:w="3880"/>
            <w:tcBorders>
              <w:top w:val="single" w:color="C8D0DC" w:sz="4"/>
              <w:left w:val="single" w:color="C8D0DC" w:sz="4"/>
              <w:bottom w:val="single" w:color="C8D0DC" w:sz="4"/>
              <w:right w:val="single" w:color="C8D0D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2"/>
                <w:szCs w:val="22"/>
              </w:rPr>
              <w:t xml:space="preserve">B. Tech in Computer Science Engineering — CGPA: 8.57</w:t>
            </w:r>
          </w:p>
        </w:tc>
      </w:tr>
      <w:tr>
        <w:tc>
          <w:tcPr>
            <w:tcW w:type="dxa" w:w="4400"/>
            <w:tcBorders>
              <w:top w:val="single" w:color="C8D0DC" w:sz="4"/>
              <w:left w:val="single" w:color="C8D0DC" w:sz="4"/>
              <w:bottom w:val="single" w:color="C8D0DC" w:sz="4"/>
              <w:right w:val="single" w:color="C8D0D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2"/>
                <w:szCs w:val="22"/>
              </w:rPr>
              <w:t xml:space="preserve">Jawahar Navodaya Vidyalaya, Warangal</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2"/>
                <w:szCs w:val="22"/>
              </w:rPr>
              <w:t xml:space="preserve">2020 – 2022</w:t>
            </w:r>
          </w:p>
        </w:tc>
        <w:tc>
          <w:tcPr>
            <w:tcW w:type="dxa" w:w="3880"/>
            <w:tcBorders>
              <w:top w:val="single" w:color="C8D0DC" w:sz="4"/>
              <w:left w:val="single" w:color="C8D0DC" w:sz="4"/>
              <w:bottom w:val="single" w:color="C8D0DC" w:sz="4"/>
              <w:right w:val="single" w:color="C8D0D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2"/>
                <w:szCs w:val="22"/>
              </w:rPr>
              <w:t xml:space="preserve">Class XI–XII (PCM, CBSE) — 79% (Class XII)</w:t>
            </w:r>
          </w:p>
        </w:tc>
      </w:tr>
      <w:tr>
        <w:tc>
          <w:tcPr>
            <w:tcW w:type="dxa" w:w="4400"/>
            <w:tcBorders>
              <w:top w:val="single" w:color="C8D0DC" w:sz="4"/>
              <w:left w:val="single" w:color="C8D0DC" w:sz="4"/>
              <w:bottom w:val="single" w:color="C8D0DC" w:sz="4"/>
              <w:right w:val="single" w:color="C8D0D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2"/>
                <w:szCs w:val="22"/>
              </w:rPr>
              <w:t xml:space="preserve">Jawahar Navodaya Vidyalaya, Warangal</w:t>
            </w:r>
          </w:p>
        </w:tc>
        <w:tc>
          <w:tcPr>
            <w:tcW w:type="dxa" w:w="1800"/>
            <w:tcBorders>
              <w:top w:val="single" w:color="C8D0DC" w:sz="4"/>
              <w:left w:val="single" w:color="C8D0DC" w:sz="4"/>
              <w:bottom w:val="single" w:color="C8D0DC" w:sz="4"/>
              <w:right w:val="single" w:color="C8D0D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2"/>
                <w:szCs w:val="22"/>
              </w:rPr>
              <w:t xml:space="preserve">2015 – 2020</w:t>
            </w:r>
          </w:p>
        </w:tc>
        <w:tc>
          <w:tcPr>
            <w:tcW w:type="dxa" w:w="3880"/>
            <w:tcBorders>
              <w:top w:val="single" w:color="C8D0DC" w:sz="4"/>
              <w:left w:val="single" w:color="C8D0DC" w:sz="4"/>
              <w:bottom w:val="single" w:color="C8D0DC" w:sz="4"/>
              <w:right w:val="single" w:color="C8D0D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2"/>
                <w:szCs w:val="22"/>
              </w:rPr>
              <w:t xml:space="preserve">Class VI–X (CBSE) — 93% (Class X)</w:t>
            </w:r>
          </w:p>
        </w:tc>
      </w:tr>
    </w:tbl>
    <w:p>
      <w:pPr>
        <w:pBdr>
          <w:bottom w:val="single" w:color="1F3A68" w:sz="8" w:space="2"/>
        </w:pBdr>
        <w:spacing w:after="60" w:before="240"/>
      </w:pPr>
      <w:r>
        <w:rPr>
          <w:rFonts w:ascii="Calibri" w:cs="Calibri" w:eastAsia="Calibri" w:hAnsi="Calibri"/>
          <w:b/>
          <w:bCs/>
          <w:color w:val="1F3A68"/>
          <w:sz w:val="26"/>
          <w:szCs w:val="26"/>
        </w:rPr>
        <w:t xml:space="preserve">CERTIFICATIONS</w:t>
      </w:r>
    </w:p>
    <w:p>
      <w:pPr>
        <w:pStyle w:val="ListParagraph"/>
        <w:numPr>
          <w:ilvl w:val="0"/>
          <w:numId w:val="2"/>
        </w:numPr>
        <w:spacing w:after="20" w:before="20"/>
      </w:pPr>
      <w:r>
        <w:rPr>
          <w:rFonts w:ascii="Calibri" w:cs="Calibri" w:eastAsia="Calibri" w:hAnsi="Calibri"/>
          <w:sz w:val="22"/>
          <w:szCs w:val="22"/>
        </w:rPr>
        <w:t xml:space="preserve">Oracle Cloud Infrastructure 2025 Certified Data Science Professional</w:t>
      </w:r>
    </w:p>
    <w:p>
      <w:pPr>
        <w:pStyle w:val="ListParagraph"/>
        <w:numPr>
          <w:ilvl w:val="0"/>
          <w:numId w:val="2"/>
        </w:numPr>
        <w:spacing w:after="20" w:before="20"/>
      </w:pPr>
      <w:r>
        <w:rPr>
          <w:rFonts w:ascii="Calibri" w:cs="Calibri" w:eastAsia="Calibri" w:hAnsi="Calibri"/>
          <w:sz w:val="22"/>
          <w:szCs w:val="22"/>
        </w:rPr>
        <w:t xml:space="preserve">NPTEL — The Joy of Computing Using Python</w:t>
      </w:r>
    </w:p>
    <w:p>
      <w:pPr>
        <w:pStyle w:val="ListParagraph"/>
        <w:numPr>
          <w:ilvl w:val="0"/>
          <w:numId w:val="2"/>
        </w:numPr>
        <w:spacing w:after="20" w:before="20"/>
      </w:pPr>
      <w:r>
        <w:rPr>
          <w:rFonts w:ascii="Calibri" w:cs="Calibri" w:eastAsia="Calibri" w:hAnsi="Calibri"/>
          <w:sz w:val="22"/>
          <w:szCs w:val="22"/>
        </w:rPr>
        <w:t xml:space="preserve">Data Analytics and Visualization</w:t>
      </w:r>
    </w:p>
    <w:p>
      <w:pPr>
        <w:pStyle w:val="ListParagraph"/>
        <w:numPr>
          <w:ilvl w:val="0"/>
          <w:numId w:val="2"/>
        </w:numPr>
        <w:spacing w:after="20" w:before="20"/>
      </w:pPr>
      <w:r>
        <w:rPr>
          <w:rFonts w:ascii="Calibri" w:cs="Calibri" w:eastAsia="Calibri" w:hAnsi="Calibri"/>
          <w:sz w:val="22"/>
          <w:szCs w:val="22"/>
        </w:rPr>
        <w:t xml:space="preserve">Data Analysis with Spreadsheets and SQL</w:t>
      </w:r>
    </w:p>
    <w:p>
      <w:pPr>
        <w:pStyle w:val="ListParagraph"/>
        <w:numPr>
          <w:ilvl w:val="0"/>
          <w:numId w:val="2"/>
        </w:numPr>
        <w:spacing w:after="20" w:before="20"/>
      </w:pPr>
      <w:r>
        <w:rPr>
          <w:rFonts w:ascii="Calibri" w:cs="Calibri" w:eastAsia="Calibri" w:hAnsi="Calibri"/>
          <w:sz w:val="22"/>
          <w:szCs w:val="22"/>
        </w:rPr>
        <w:t xml:space="preserve">Introduction to Data Analytics</w:t>
      </w:r>
    </w:p>
    <w:p>
      <w:pPr>
        <w:pBdr>
          <w:bottom w:val="single" w:color="1F3A68" w:sz="8" w:space="2"/>
        </w:pBdr>
        <w:spacing w:after="60" w:before="240"/>
      </w:pPr>
      <w:r>
        <w:rPr>
          <w:rFonts w:ascii="Calibri" w:cs="Calibri" w:eastAsia="Calibri" w:hAnsi="Calibri"/>
          <w:b/>
          <w:bCs/>
          <w:color w:val="1F3A68"/>
          <w:sz w:val="26"/>
          <w:szCs w:val="26"/>
        </w:rPr>
        <w:t xml:space="preserve">KEY STRENGTHS</w:t>
      </w:r>
    </w:p>
    <w:p>
      <w:pPr>
        <w:pStyle w:val="ListParagraph"/>
        <w:numPr>
          <w:ilvl w:val="0"/>
          <w:numId w:val="2"/>
        </w:numPr>
        <w:spacing w:after="20" w:before="20"/>
      </w:pPr>
      <w:r>
        <w:rPr>
          <w:rFonts w:ascii="Calibri" w:cs="Calibri" w:eastAsia="Calibri" w:hAnsi="Calibri"/>
          <w:sz w:val="22"/>
          <w:szCs w:val="22"/>
        </w:rPr>
        <w:t xml:space="preserve">Logical, analytical, and innovative thinker — enjoy breaking down ambiguous technical problems into clean, testable solutions.</w:t>
      </w:r>
    </w:p>
    <w:p>
      <w:pPr>
        <w:pStyle w:val="ListParagraph"/>
        <w:numPr>
          <w:ilvl w:val="0"/>
          <w:numId w:val="2"/>
        </w:numPr>
        <w:spacing w:after="20" w:before="20"/>
      </w:pPr>
      <w:r>
        <w:rPr>
          <w:rFonts w:ascii="Calibri" w:cs="Calibri" w:eastAsia="Calibri" w:hAnsi="Calibri"/>
          <w:sz w:val="22"/>
          <w:szCs w:val="22"/>
        </w:rPr>
        <w:t xml:space="preserve">Proactive and self-motivated; comfortable taking ownership of tasks from research and prototyping through to deployment and documentation.</w:t>
      </w:r>
    </w:p>
    <w:p>
      <w:pPr>
        <w:pStyle w:val="ListParagraph"/>
        <w:numPr>
          <w:ilvl w:val="0"/>
          <w:numId w:val="2"/>
        </w:numPr>
        <w:spacing w:after="20" w:before="20"/>
      </w:pPr>
      <w:r>
        <w:rPr>
          <w:rFonts w:ascii="Calibri" w:cs="Calibri" w:eastAsia="Calibri" w:hAnsi="Calibri"/>
          <w:sz w:val="22"/>
          <w:szCs w:val="22"/>
        </w:rPr>
        <w:t xml:space="preserve">Effective collaborator in cross-functional, agile teams — translating technical work into clear outcomes for engineering and business stakeholders.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emun63ehfaqyqppsjhkz" Type="http://schemas.openxmlformats.org/officeDocument/2006/relationships/hyperlink" Target="mailto:naniharsha948@gmail.com" TargetMode="External"/><Relationship Id="rIdxr6t3-k1-zwgeyzrh1kim" Type="http://schemas.openxmlformats.org/officeDocument/2006/relationships/hyperlink" Target="https://github.com/harshavardhankaduduri" TargetMode="External"/><Relationship Id="rIdtmc21_jkeoqx6yvx60st4" Type="http://schemas.openxmlformats.org/officeDocument/2006/relationships/hyperlink" Target="https://www.linkedin.com/in/harshavardhankaduduri" TargetMode="External"/><Relationship Id="rId7c5xuhwy5edgdfzxvb-da" Type="http://schemas.openxmlformats.org/officeDocument/2006/relationships/hyperlink" Target="https://portfoliofoxxix.netlify.ap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Harshavardhan Kaduduri - Resume</dc:title>
  <dc:creator>Harshavardhan Kaduduri</dc:creator>
  <cp:lastModifiedBy>Un-named</cp:lastModifiedBy>
  <cp:revision>1</cp:revision>
  <dcterms:created xsi:type="dcterms:W3CDTF">2026-05-11T16:20:57.161Z</dcterms:created>
  <dcterms:modified xsi:type="dcterms:W3CDTF">2026-05-11T16:20:57.161Z</dcterms:modified>
</cp:coreProperties>
</file>

<file path=docProps/custom.xml><?xml version="1.0" encoding="utf-8"?>
<Properties xmlns="http://schemas.openxmlformats.org/officeDocument/2006/custom-properties" xmlns:vt="http://schemas.openxmlformats.org/officeDocument/2006/docPropsVTypes"/>
</file>