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FCFA2" w14:textId="77777777" w:rsidR="001D43C9" w:rsidRDefault="00000000">
      <w:pPr>
        <w:spacing w:after="100"/>
        <w:jc w:val="center"/>
      </w:pPr>
      <w:r>
        <w:rPr>
          <w:rFonts w:ascii="Calibri" w:eastAsia="Calibri" w:hAnsi="Calibri" w:cs="Calibri"/>
          <w:b/>
          <w:bCs/>
          <w:sz w:val="36"/>
          <w:szCs w:val="36"/>
        </w:rPr>
        <w:t>Phishing URL Behaviour Classification</w:t>
      </w:r>
    </w:p>
    <w:p w14:paraId="40FFCFA3" w14:textId="77777777" w:rsidR="001D43C9" w:rsidRDefault="00000000">
      <w:pPr>
        <w:spacing w:after="100"/>
        <w:jc w:val="center"/>
      </w:pPr>
      <w:r>
        <w:rPr>
          <w:rFonts w:ascii="Calibri" w:eastAsia="Calibri" w:hAnsi="Calibri" w:cs="Calibri"/>
          <w:i/>
          <w:iCs/>
          <w:sz w:val="24"/>
          <w:szCs w:val="24"/>
        </w:rPr>
        <w:t>A Machine Learning Approach to Detecting Malicious URLs from Structural Features</w:t>
      </w:r>
    </w:p>
    <w:p w14:paraId="40FFCFA4" w14:textId="6A05AF98" w:rsidR="001D43C9" w:rsidRDefault="00FA449B">
      <w:pPr>
        <w:spacing w:after="300"/>
        <w:jc w:val="center"/>
      </w:pPr>
      <w:r>
        <w:rPr>
          <w:rFonts w:ascii="Calibri" w:eastAsia="Calibri" w:hAnsi="Calibri" w:cs="Calibri"/>
        </w:rPr>
        <w:t xml:space="preserve">Bolla Sree </w:t>
      </w:r>
      <w:proofErr w:type="gramStart"/>
      <w:r>
        <w:rPr>
          <w:rFonts w:ascii="Calibri" w:eastAsia="Calibri" w:hAnsi="Calibri" w:cs="Calibri"/>
        </w:rPr>
        <w:t>Harsha</w:t>
      </w:r>
      <w:r w:rsidR="00000000">
        <w:rPr>
          <w:rFonts w:ascii="Calibri" w:eastAsia="Calibri" w:hAnsi="Calibri" w:cs="Calibri"/>
        </w:rPr>
        <w:t xml:space="preserve">  |</w:t>
      </w:r>
      <w:proofErr w:type="gramEnd"/>
      <w:r w:rsidR="00000000">
        <w:rPr>
          <w:rFonts w:ascii="Calibri" w:eastAsia="Calibri" w:hAnsi="Calibri" w:cs="Calibri"/>
        </w:rPr>
        <w:t xml:space="preserve">  Learn Depth Academy LLP — Internship Capstone (Track 1, Problem 02)</w:t>
      </w:r>
    </w:p>
    <w:p w14:paraId="40FFCFA5" w14:textId="77777777" w:rsidR="001D43C9" w:rsidRDefault="001D43C9">
      <w:pPr>
        <w:pBdr>
          <w:bottom w:val="single" w:sz="6" w:space="1" w:color="999999"/>
        </w:pBdr>
        <w:spacing w:after="200"/>
      </w:pPr>
    </w:p>
    <w:p w14:paraId="40FFCFA6" w14:textId="77777777" w:rsidR="001D43C9" w:rsidRDefault="00000000">
      <w:pPr>
        <w:pStyle w:val="Heading1"/>
        <w:spacing w:before="300" w:after="150"/>
      </w:pPr>
      <w:r>
        <w:t>Abstract</w:t>
      </w:r>
    </w:p>
    <w:p w14:paraId="40FFCFA7" w14:textId="77777777" w:rsidR="001D43C9" w:rsidRDefault="00000000">
      <w:pPr>
        <w:spacing w:after="160"/>
        <w:jc w:val="both"/>
      </w:pPr>
      <w:r>
        <w:rPr>
          <w:rFonts w:ascii="Calibri" w:eastAsia="Calibri" w:hAnsi="Calibri" w:cs="Calibri"/>
          <w:sz w:val="22"/>
          <w:szCs w:val="22"/>
        </w:rPr>
        <w:t xml:space="preserve">Phishing attacks remain one of the most common vectors for credential theft and financial fraud, frequently relying on URLs designed to imitate legitimate websites. This paper presents a supervised machine learning approach to phishing URL detection using only features derivable from the URL string itself, without relying on page content, WHOIS records, or third-party reputation services. A dataset of 450,176 URLs (76.8% benign, 23.2% malicious), sourced from </w:t>
      </w:r>
      <w:proofErr w:type="spellStart"/>
      <w:r>
        <w:rPr>
          <w:rFonts w:ascii="Calibri" w:eastAsia="Calibri" w:hAnsi="Calibri" w:cs="Calibri"/>
          <w:sz w:val="22"/>
          <w:szCs w:val="22"/>
        </w:rPr>
        <w:t>PhishTank</w:t>
      </w:r>
      <w:proofErr w:type="spellEnd"/>
      <w:r>
        <w:rPr>
          <w:rFonts w:ascii="Calibri" w:eastAsia="Calibri" w:hAnsi="Calibri" w:cs="Calibri"/>
          <w:sz w:val="22"/>
          <w:szCs w:val="22"/>
        </w:rPr>
        <w:t xml:space="preserve"> and the Majestic Million, was used to engineer 21 structural and lexical features. Logistic Regression and Decision Tree classifiers were trained and evaluated, achieving accuracy above 99.6% and ROC-AUC above 99.7% for both models. Logistic Regression was selected as the final model based on its slightly higher ROC-AUC and better-calibrated probability outputs. A </w:t>
      </w:r>
      <w:proofErr w:type="spellStart"/>
      <w:r>
        <w:rPr>
          <w:rFonts w:ascii="Calibri" w:eastAsia="Calibri" w:hAnsi="Calibri" w:cs="Calibri"/>
          <w:sz w:val="22"/>
          <w:szCs w:val="22"/>
        </w:rPr>
        <w:t>Streamlit</w:t>
      </w:r>
      <w:proofErr w:type="spellEnd"/>
      <w:r>
        <w:rPr>
          <w:rFonts w:ascii="Calibri" w:eastAsia="Calibri" w:hAnsi="Calibri" w:cs="Calibri"/>
          <w:sz w:val="22"/>
          <w:szCs w:val="22"/>
        </w:rPr>
        <w:t xml:space="preserve"> web application was built to demonstrate real-time URL classification. The paper also discusses an important caveat: the dominant predictive feature, HTTPS usage, reflects characteristics of the source datasets rather than a universal property of phishing, and this limitation is discussed in detail.</w:t>
      </w:r>
    </w:p>
    <w:p w14:paraId="40FFCFA8" w14:textId="77777777" w:rsidR="001D43C9" w:rsidRDefault="00000000">
      <w:pPr>
        <w:pStyle w:val="Heading1"/>
        <w:spacing w:before="300" w:after="150"/>
      </w:pPr>
      <w:r>
        <w:t>1. Introduction</w:t>
      </w:r>
    </w:p>
    <w:p w14:paraId="40FFCFA9" w14:textId="77777777" w:rsidR="001D43C9" w:rsidRDefault="00000000">
      <w:pPr>
        <w:spacing w:after="160"/>
        <w:jc w:val="both"/>
      </w:pPr>
      <w:r>
        <w:rPr>
          <w:rFonts w:ascii="Calibri" w:eastAsia="Calibri" w:hAnsi="Calibri" w:cs="Calibri"/>
          <w:sz w:val="22"/>
          <w:szCs w:val="22"/>
        </w:rPr>
        <w:t>Phishing is a form of social engineering in which attackers craft URLs and web pages that mimic trusted entities to deceive users into revealing sensitive information such as login credentials, banking details, or personal data. Because phishing campaigns are typically short-lived and URLs are cheap to generate, detection systems that rely purely on blacklists struggle to keep pace with new attacks. This has motivated research into machine learning models that can classify a URL as benign or malicious based on intrinsic characteristics of the URL string — an approach that can, in principle, generalize to previously unseen URLs without requiring the page to be visited.</w:t>
      </w:r>
    </w:p>
    <w:p w14:paraId="40FFCFAA" w14:textId="77777777" w:rsidR="001D43C9" w:rsidRDefault="00000000">
      <w:pPr>
        <w:spacing w:after="160"/>
        <w:jc w:val="both"/>
      </w:pPr>
      <w:r>
        <w:rPr>
          <w:rFonts w:ascii="Calibri" w:eastAsia="Calibri" w:hAnsi="Calibri" w:cs="Calibri"/>
          <w:sz w:val="22"/>
          <w:szCs w:val="22"/>
        </w:rPr>
        <w:t>This project addresses the problem as a binary classification task: given a URL, predict whether it is benign or malicious. The scope was deliberately restricted to free, open-source tools and foundational machine learning methods, in line with the project's educational objectives, and to features that can be computed instantly from the URL text alone.</w:t>
      </w:r>
    </w:p>
    <w:p w14:paraId="40FFCFAB" w14:textId="77777777" w:rsidR="001D43C9" w:rsidRDefault="00000000">
      <w:pPr>
        <w:pStyle w:val="Heading1"/>
        <w:spacing w:before="300" w:after="150"/>
      </w:pPr>
      <w:r>
        <w:t>2. Dataset</w:t>
      </w:r>
    </w:p>
    <w:p w14:paraId="40FFCFAC" w14:textId="77777777" w:rsidR="001D43C9" w:rsidRDefault="00000000">
      <w:pPr>
        <w:spacing w:after="160"/>
        <w:jc w:val="both"/>
      </w:pPr>
      <w:r>
        <w:rPr>
          <w:rFonts w:ascii="Calibri" w:eastAsia="Calibri" w:hAnsi="Calibri" w:cs="Calibri"/>
          <w:sz w:val="22"/>
          <w:szCs w:val="22"/>
        </w:rPr>
        <w:t xml:space="preserve">The dataset used consists of 450,176 URL records, combining malicious URLs sourced from </w:t>
      </w:r>
      <w:proofErr w:type="spellStart"/>
      <w:r>
        <w:rPr>
          <w:rFonts w:ascii="Calibri" w:eastAsia="Calibri" w:hAnsi="Calibri" w:cs="Calibri"/>
          <w:sz w:val="22"/>
          <w:szCs w:val="22"/>
        </w:rPr>
        <w:t>PhishTank</w:t>
      </w:r>
      <w:proofErr w:type="spellEnd"/>
      <w:r>
        <w:rPr>
          <w:rFonts w:ascii="Calibri" w:eastAsia="Calibri" w:hAnsi="Calibri" w:cs="Calibri"/>
          <w:sz w:val="22"/>
          <w:szCs w:val="22"/>
        </w:rPr>
        <w:t xml:space="preserve"> and benign URLs sourced from the Majestic Million top-sites list. Each record contains the raw URL string, a categorical label (benign/malicious), and a binary target column. The dataset contained no missing values and no duplicate rows.</w:t>
      </w:r>
    </w:p>
    <w:p w14:paraId="40FFCFAD" w14:textId="77777777" w:rsidR="001D43C9" w:rsidRDefault="00000000">
      <w:pPr>
        <w:spacing w:after="160"/>
        <w:jc w:val="both"/>
      </w:pPr>
      <w:r>
        <w:rPr>
          <w:rFonts w:ascii="Calibri" w:eastAsia="Calibri" w:hAnsi="Calibri" w:cs="Calibri"/>
          <w:sz w:val="22"/>
          <w:szCs w:val="22"/>
        </w:rPr>
        <w:t>The class distribution is imbalanced: 345,738 benign URLs (76.8%) and 104,438 malicious URLs (23.2%). This imbalance was addressed through stratified train/test splitting and by reporting precision, recall, and F1-score alongside accuracy, since accuracy alone can be misleading on imbalanced data.</w:t>
      </w:r>
    </w:p>
    <w:p w14:paraId="40FFCFAE" w14:textId="77777777" w:rsidR="001D43C9" w:rsidRDefault="00000000">
      <w:pPr>
        <w:pStyle w:val="Heading1"/>
        <w:spacing w:before="300" w:after="150"/>
      </w:pPr>
      <w:r>
        <w:lastRenderedPageBreak/>
        <w:t>3. Methodology</w:t>
      </w:r>
    </w:p>
    <w:p w14:paraId="40FFCFAF" w14:textId="77777777" w:rsidR="001D43C9" w:rsidRDefault="00000000">
      <w:pPr>
        <w:pStyle w:val="Heading2"/>
        <w:spacing w:before="250" w:after="120"/>
      </w:pPr>
      <w:r>
        <w:t>3.1 Feature Engineering</w:t>
      </w:r>
    </w:p>
    <w:p w14:paraId="40FFCFB0" w14:textId="77777777" w:rsidR="001D43C9" w:rsidRDefault="00000000">
      <w:pPr>
        <w:spacing w:after="160"/>
        <w:jc w:val="both"/>
      </w:pPr>
      <w:r>
        <w:rPr>
          <w:rFonts w:ascii="Calibri" w:eastAsia="Calibri" w:hAnsi="Calibri" w:cs="Calibri"/>
          <w:sz w:val="22"/>
          <w:szCs w:val="22"/>
        </w:rPr>
        <w:t>The raw dataset provides only the URL string, which is not directly usable by machine learning models. Twenty-one numerical features were therefore engineered for each URL, capturing length, character composition, symbol frequency, and domain-related characteristics. These are summarized below.</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1D43C9" w14:paraId="40FFCFB3" w14:textId="77777777">
        <w:tblPrEx>
          <w:tblCellMar>
            <w:top w:w="0" w:type="dxa"/>
            <w:bottom w:w="0" w:type="dxa"/>
          </w:tblCellMar>
        </w:tblPrEx>
        <w:tc>
          <w:tcPr>
            <w:tcW w:w="3200" w:type="dxa"/>
            <w:shd w:val="clear" w:color="auto" w:fill="1F3864"/>
          </w:tcPr>
          <w:p w14:paraId="40FFCFB1" w14:textId="77777777" w:rsidR="001D43C9" w:rsidRDefault="00000000">
            <w:pPr>
              <w:jc w:val="center"/>
            </w:pPr>
            <w:r>
              <w:rPr>
                <w:rFonts w:ascii="Calibri" w:eastAsia="Calibri" w:hAnsi="Calibri" w:cs="Calibri"/>
                <w:b/>
                <w:bCs/>
                <w:color w:val="FFFFFF"/>
              </w:rPr>
              <w:t>Feature Group</w:t>
            </w:r>
          </w:p>
        </w:tc>
        <w:tc>
          <w:tcPr>
            <w:tcW w:w="6300" w:type="dxa"/>
            <w:shd w:val="clear" w:color="auto" w:fill="1F3864"/>
          </w:tcPr>
          <w:p w14:paraId="40FFCFB2" w14:textId="77777777" w:rsidR="001D43C9" w:rsidRDefault="00000000">
            <w:pPr>
              <w:jc w:val="center"/>
            </w:pPr>
            <w:r>
              <w:rPr>
                <w:rFonts w:ascii="Calibri" w:eastAsia="Calibri" w:hAnsi="Calibri" w:cs="Calibri"/>
                <w:b/>
                <w:bCs/>
                <w:color w:val="FFFFFF"/>
              </w:rPr>
              <w:t>Features</w:t>
            </w:r>
          </w:p>
        </w:tc>
      </w:tr>
      <w:tr w:rsidR="001D43C9" w14:paraId="40FFCFB6" w14:textId="77777777">
        <w:tblPrEx>
          <w:tblCellMar>
            <w:top w:w="0" w:type="dxa"/>
            <w:bottom w:w="0" w:type="dxa"/>
          </w:tblCellMar>
        </w:tblPrEx>
        <w:tc>
          <w:tcPr>
            <w:tcW w:w="3200" w:type="dxa"/>
          </w:tcPr>
          <w:p w14:paraId="40FFCFB4" w14:textId="77777777" w:rsidR="001D43C9" w:rsidRDefault="00000000">
            <w:r>
              <w:rPr>
                <w:rFonts w:ascii="Calibri" w:eastAsia="Calibri" w:hAnsi="Calibri" w:cs="Calibri"/>
                <w:b/>
                <w:bCs/>
              </w:rPr>
              <w:t>Length-based</w:t>
            </w:r>
          </w:p>
        </w:tc>
        <w:tc>
          <w:tcPr>
            <w:tcW w:w="6300" w:type="dxa"/>
          </w:tcPr>
          <w:p w14:paraId="40FFCFB5" w14:textId="77777777" w:rsidR="001D43C9" w:rsidRDefault="00000000">
            <w:proofErr w:type="spellStart"/>
            <w:r>
              <w:rPr>
                <w:rFonts w:ascii="Calibri" w:eastAsia="Calibri" w:hAnsi="Calibri" w:cs="Calibri"/>
              </w:rPr>
              <w:t>url_length</w:t>
            </w:r>
            <w:proofErr w:type="spellEnd"/>
            <w:r>
              <w:rPr>
                <w:rFonts w:ascii="Calibri" w:eastAsia="Calibri" w:hAnsi="Calibri" w:cs="Calibri"/>
              </w:rPr>
              <w:t xml:space="preserve">, </w:t>
            </w:r>
            <w:proofErr w:type="spellStart"/>
            <w:r>
              <w:rPr>
                <w:rFonts w:ascii="Calibri" w:eastAsia="Calibri" w:hAnsi="Calibri" w:cs="Calibri"/>
              </w:rPr>
              <w:t>hostname_length</w:t>
            </w:r>
            <w:proofErr w:type="spellEnd"/>
            <w:r>
              <w:rPr>
                <w:rFonts w:ascii="Calibri" w:eastAsia="Calibri" w:hAnsi="Calibri" w:cs="Calibri"/>
              </w:rPr>
              <w:t xml:space="preserve">, </w:t>
            </w:r>
            <w:proofErr w:type="spellStart"/>
            <w:r>
              <w:rPr>
                <w:rFonts w:ascii="Calibri" w:eastAsia="Calibri" w:hAnsi="Calibri" w:cs="Calibri"/>
              </w:rPr>
              <w:t>path_length</w:t>
            </w:r>
            <w:proofErr w:type="spellEnd"/>
            <w:r>
              <w:rPr>
                <w:rFonts w:ascii="Calibri" w:eastAsia="Calibri" w:hAnsi="Calibri" w:cs="Calibri"/>
              </w:rPr>
              <w:t xml:space="preserve">, </w:t>
            </w:r>
            <w:proofErr w:type="spellStart"/>
            <w:r>
              <w:rPr>
                <w:rFonts w:ascii="Calibri" w:eastAsia="Calibri" w:hAnsi="Calibri" w:cs="Calibri"/>
              </w:rPr>
              <w:t>query_length</w:t>
            </w:r>
            <w:proofErr w:type="spellEnd"/>
          </w:p>
        </w:tc>
      </w:tr>
      <w:tr w:rsidR="001D43C9" w14:paraId="40FFCFB9" w14:textId="77777777">
        <w:tblPrEx>
          <w:tblCellMar>
            <w:top w:w="0" w:type="dxa"/>
            <w:bottom w:w="0" w:type="dxa"/>
          </w:tblCellMar>
        </w:tblPrEx>
        <w:tc>
          <w:tcPr>
            <w:tcW w:w="3200" w:type="dxa"/>
          </w:tcPr>
          <w:p w14:paraId="40FFCFB7" w14:textId="77777777" w:rsidR="001D43C9" w:rsidRDefault="00000000">
            <w:r>
              <w:rPr>
                <w:rFonts w:ascii="Calibri" w:eastAsia="Calibri" w:hAnsi="Calibri" w:cs="Calibri"/>
                <w:b/>
                <w:bCs/>
              </w:rPr>
              <w:t>Character composition</w:t>
            </w:r>
          </w:p>
        </w:tc>
        <w:tc>
          <w:tcPr>
            <w:tcW w:w="6300" w:type="dxa"/>
          </w:tcPr>
          <w:p w14:paraId="40FFCFB8" w14:textId="77777777" w:rsidR="001D43C9" w:rsidRDefault="00000000">
            <w:proofErr w:type="spellStart"/>
            <w:r>
              <w:rPr>
                <w:rFonts w:ascii="Calibri" w:eastAsia="Calibri" w:hAnsi="Calibri" w:cs="Calibri"/>
              </w:rPr>
              <w:t>digit_count</w:t>
            </w:r>
            <w:proofErr w:type="spellEnd"/>
            <w:r>
              <w:rPr>
                <w:rFonts w:ascii="Calibri" w:eastAsia="Calibri" w:hAnsi="Calibri" w:cs="Calibri"/>
              </w:rPr>
              <w:t xml:space="preserve">, </w:t>
            </w:r>
            <w:proofErr w:type="spellStart"/>
            <w:r>
              <w:rPr>
                <w:rFonts w:ascii="Calibri" w:eastAsia="Calibri" w:hAnsi="Calibri" w:cs="Calibri"/>
              </w:rPr>
              <w:t>digit_ratio</w:t>
            </w:r>
            <w:proofErr w:type="spellEnd"/>
            <w:r>
              <w:rPr>
                <w:rFonts w:ascii="Calibri" w:eastAsia="Calibri" w:hAnsi="Calibri" w:cs="Calibri"/>
              </w:rPr>
              <w:t xml:space="preserve">, </w:t>
            </w:r>
            <w:proofErr w:type="spellStart"/>
            <w:r>
              <w:rPr>
                <w:rFonts w:ascii="Calibri" w:eastAsia="Calibri" w:hAnsi="Calibri" w:cs="Calibri"/>
              </w:rPr>
              <w:t>special_char_count</w:t>
            </w:r>
            <w:proofErr w:type="spellEnd"/>
            <w:r>
              <w:rPr>
                <w:rFonts w:ascii="Calibri" w:eastAsia="Calibri" w:hAnsi="Calibri" w:cs="Calibri"/>
              </w:rPr>
              <w:t xml:space="preserve">, </w:t>
            </w:r>
            <w:proofErr w:type="spellStart"/>
            <w:r>
              <w:rPr>
                <w:rFonts w:ascii="Calibri" w:eastAsia="Calibri" w:hAnsi="Calibri" w:cs="Calibri"/>
              </w:rPr>
              <w:t>dot_count</w:t>
            </w:r>
            <w:proofErr w:type="spellEnd"/>
            <w:r>
              <w:rPr>
                <w:rFonts w:ascii="Calibri" w:eastAsia="Calibri" w:hAnsi="Calibri" w:cs="Calibri"/>
              </w:rPr>
              <w:t xml:space="preserve">, </w:t>
            </w:r>
            <w:proofErr w:type="spellStart"/>
            <w:r>
              <w:rPr>
                <w:rFonts w:ascii="Calibri" w:eastAsia="Calibri" w:hAnsi="Calibri" w:cs="Calibri"/>
              </w:rPr>
              <w:t>slash_count</w:t>
            </w:r>
            <w:proofErr w:type="spellEnd"/>
            <w:r>
              <w:rPr>
                <w:rFonts w:ascii="Calibri" w:eastAsia="Calibri" w:hAnsi="Calibri" w:cs="Calibri"/>
              </w:rPr>
              <w:t xml:space="preserve">, </w:t>
            </w:r>
            <w:proofErr w:type="spellStart"/>
            <w:r>
              <w:rPr>
                <w:rFonts w:ascii="Calibri" w:eastAsia="Calibri" w:hAnsi="Calibri" w:cs="Calibri"/>
              </w:rPr>
              <w:t>hyphen_count</w:t>
            </w:r>
            <w:proofErr w:type="spellEnd"/>
          </w:p>
        </w:tc>
      </w:tr>
      <w:tr w:rsidR="001D43C9" w14:paraId="40FFCFBC" w14:textId="77777777">
        <w:tblPrEx>
          <w:tblCellMar>
            <w:top w:w="0" w:type="dxa"/>
            <w:bottom w:w="0" w:type="dxa"/>
          </w:tblCellMar>
        </w:tblPrEx>
        <w:tc>
          <w:tcPr>
            <w:tcW w:w="3200" w:type="dxa"/>
          </w:tcPr>
          <w:p w14:paraId="40FFCFBA" w14:textId="77777777" w:rsidR="001D43C9" w:rsidRDefault="00000000">
            <w:r>
              <w:rPr>
                <w:rFonts w:ascii="Calibri" w:eastAsia="Calibri" w:hAnsi="Calibri" w:cs="Calibri"/>
                <w:b/>
                <w:bCs/>
              </w:rPr>
              <w:t>Symbol counts</w:t>
            </w:r>
          </w:p>
        </w:tc>
        <w:tc>
          <w:tcPr>
            <w:tcW w:w="6300" w:type="dxa"/>
          </w:tcPr>
          <w:p w14:paraId="40FFCFBB" w14:textId="77777777" w:rsidR="001D43C9" w:rsidRDefault="00000000">
            <w:proofErr w:type="spellStart"/>
            <w:r>
              <w:rPr>
                <w:rFonts w:ascii="Calibri" w:eastAsia="Calibri" w:hAnsi="Calibri" w:cs="Calibri"/>
              </w:rPr>
              <w:t>at_count</w:t>
            </w:r>
            <w:proofErr w:type="spellEnd"/>
            <w:r>
              <w:rPr>
                <w:rFonts w:ascii="Calibri" w:eastAsia="Calibri" w:hAnsi="Calibri" w:cs="Calibri"/>
              </w:rPr>
              <w:t xml:space="preserve">, </w:t>
            </w:r>
            <w:proofErr w:type="spellStart"/>
            <w:r>
              <w:rPr>
                <w:rFonts w:ascii="Calibri" w:eastAsia="Calibri" w:hAnsi="Calibri" w:cs="Calibri"/>
              </w:rPr>
              <w:t>question_count</w:t>
            </w:r>
            <w:proofErr w:type="spellEnd"/>
            <w:r>
              <w:rPr>
                <w:rFonts w:ascii="Calibri" w:eastAsia="Calibri" w:hAnsi="Calibri" w:cs="Calibri"/>
              </w:rPr>
              <w:t xml:space="preserve">, </w:t>
            </w:r>
            <w:proofErr w:type="spellStart"/>
            <w:r>
              <w:rPr>
                <w:rFonts w:ascii="Calibri" w:eastAsia="Calibri" w:hAnsi="Calibri" w:cs="Calibri"/>
              </w:rPr>
              <w:t>ampersand_count</w:t>
            </w:r>
            <w:proofErr w:type="spellEnd"/>
            <w:r>
              <w:rPr>
                <w:rFonts w:ascii="Calibri" w:eastAsia="Calibri" w:hAnsi="Calibri" w:cs="Calibri"/>
              </w:rPr>
              <w:t xml:space="preserve">, </w:t>
            </w:r>
            <w:proofErr w:type="spellStart"/>
            <w:r>
              <w:rPr>
                <w:rFonts w:ascii="Calibri" w:eastAsia="Calibri" w:hAnsi="Calibri" w:cs="Calibri"/>
              </w:rPr>
              <w:t>equals_count</w:t>
            </w:r>
            <w:proofErr w:type="spellEnd"/>
            <w:r>
              <w:rPr>
                <w:rFonts w:ascii="Calibri" w:eastAsia="Calibri" w:hAnsi="Calibri" w:cs="Calibri"/>
              </w:rPr>
              <w:t xml:space="preserve">, </w:t>
            </w:r>
            <w:proofErr w:type="spellStart"/>
            <w:r>
              <w:rPr>
                <w:rFonts w:ascii="Calibri" w:eastAsia="Calibri" w:hAnsi="Calibri" w:cs="Calibri"/>
              </w:rPr>
              <w:t>percent_count</w:t>
            </w:r>
            <w:proofErr w:type="spellEnd"/>
            <w:r>
              <w:rPr>
                <w:rFonts w:ascii="Calibri" w:eastAsia="Calibri" w:hAnsi="Calibri" w:cs="Calibri"/>
              </w:rPr>
              <w:t xml:space="preserve">, </w:t>
            </w:r>
            <w:proofErr w:type="spellStart"/>
            <w:r>
              <w:rPr>
                <w:rFonts w:ascii="Calibri" w:eastAsia="Calibri" w:hAnsi="Calibri" w:cs="Calibri"/>
              </w:rPr>
              <w:t>underscore_count</w:t>
            </w:r>
            <w:proofErr w:type="spellEnd"/>
          </w:p>
        </w:tc>
      </w:tr>
      <w:tr w:rsidR="001D43C9" w14:paraId="40FFCFBF" w14:textId="77777777">
        <w:tblPrEx>
          <w:tblCellMar>
            <w:top w:w="0" w:type="dxa"/>
            <w:bottom w:w="0" w:type="dxa"/>
          </w:tblCellMar>
        </w:tblPrEx>
        <w:tc>
          <w:tcPr>
            <w:tcW w:w="3200" w:type="dxa"/>
          </w:tcPr>
          <w:p w14:paraId="40FFCFBD" w14:textId="77777777" w:rsidR="001D43C9" w:rsidRDefault="00000000">
            <w:r>
              <w:rPr>
                <w:rFonts w:ascii="Calibri" w:eastAsia="Calibri" w:hAnsi="Calibri" w:cs="Calibri"/>
                <w:b/>
                <w:bCs/>
              </w:rPr>
              <w:t>Domain-related</w:t>
            </w:r>
          </w:p>
        </w:tc>
        <w:tc>
          <w:tcPr>
            <w:tcW w:w="6300" w:type="dxa"/>
          </w:tcPr>
          <w:p w14:paraId="40FFCFBE" w14:textId="77777777" w:rsidR="001D43C9" w:rsidRDefault="00000000">
            <w:proofErr w:type="spellStart"/>
            <w:r>
              <w:rPr>
                <w:rFonts w:ascii="Calibri" w:eastAsia="Calibri" w:hAnsi="Calibri" w:cs="Calibri"/>
              </w:rPr>
              <w:t>subdomain_count</w:t>
            </w:r>
            <w:proofErr w:type="spellEnd"/>
            <w:r>
              <w:rPr>
                <w:rFonts w:ascii="Calibri" w:eastAsia="Calibri" w:hAnsi="Calibri" w:cs="Calibri"/>
              </w:rPr>
              <w:t xml:space="preserve">, </w:t>
            </w:r>
            <w:proofErr w:type="spellStart"/>
            <w:r>
              <w:rPr>
                <w:rFonts w:ascii="Calibri" w:eastAsia="Calibri" w:hAnsi="Calibri" w:cs="Calibri"/>
              </w:rPr>
              <w:t>has_https</w:t>
            </w:r>
            <w:proofErr w:type="spellEnd"/>
            <w:r>
              <w:rPr>
                <w:rFonts w:ascii="Calibri" w:eastAsia="Calibri" w:hAnsi="Calibri" w:cs="Calibri"/>
              </w:rPr>
              <w:t xml:space="preserve">, </w:t>
            </w:r>
            <w:proofErr w:type="spellStart"/>
            <w:r>
              <w:rPr>
                <w:rFonts w:ascii="Calibri" w:eastAsia="Calibri" w:hAnsi="Calibri" w:cs="Calibri"/>
              </w:rPr>
              <w:t>has_ip</w:t>
            </w:r>
            <w:proofErr w:type="spellEnd"/>
            <w:r>
              <w:rPr>
                <w:rFonts w:ascii="Calibri" w:eastAsia="Calibri" w:hAnsi="Calibri" w:cs="Calibri"/>
              </w:rPr>
              <w:t xml:space="preserve">, </w:t>
            </w:r>
            <w:proofErr w:type="spellStart"/>
            <w:r>
              <w:rPr>
                <w:rFonts w:ascii="Calibri" w:eastAsia="Calibri" w:hAnsi="Calibri" w:cs="Calibri"/>
              </w:rPr>
              <w:t>has_www</w:t>
            </w:r>
            <w:proofErr w:type="spellEnd"/>
          </w:p>
        </w:tc>
      </w:tr>
      <w:tr w:rsidR="001D43C9" w14:paraId="40FFCFC2" w14:textId="77777777">
        <w:tblPrEx>
          <w:tblCellMar>
            <w:top w:w="0" w:type="dxa"/>
            <w:bottom w:w="0" w:type="dxa"/>
          </w:tblCellMar>
        </w:tblPrEx>
        <w:tc>
          <w:tcPr>
            <w:tcW w:w="3200" w:type="dxa"/>
          </w:tcPr>
          <w:p w14:paraId="40FFCFC0" w14:textId="77777777" w:rsidR="001D43C9" w:rsidRDefault="00000000">
            <w:r>
              <w:rPr>
                <w:rFonts w:ascii="Calibri" w:eastAsia="Calibri" w:hAnsi="Calibri" w:cs="Calibri"/>
                <w:b/>
                <w:bCs/>
              </w:rPr>
              <w:t>Content signal</w:t>
            </w:r>
          </w:p>
        </w:tc>
        <w:tc>
          <w:tcPr>
            <w:tcW w:w="6300" w:type="dxa"/>
          </w:tcPr>
          <w:p w14:paraId="40FFCFC1" w14:textId="77777777" w:rsidR="001D43C9" w:rsidRDefault="00000000">
            <w:proofErr w:type="spellStart"/>
            <w:r>
              <w:rPr>
                <w:rFonts w:ascii="Calibri" w:eastAsia="Calibri" w:hAnsi="Calibri" w:cs="Calibri"/>
              </w:rPr>
              <w:t>suspicious_keyword</w:t>
            </w:r>
            <w:proofErr w:type="spellEnd"/>
            <w:r>
              <w:rPr>
                <w:rFonts w:ascii="Calibri" w:eastAsia="Calibri" w:hAnsi="Calibri" w:cs="Calibri"/>
              </w:rPr>
              <w:t xml:space="preserve"> (login, verify, secure, account, bank, etc.)</w:t>
            </w:r>
          </w:p>
        </w:tc>
      </w:tr>
    </w:tbl>
    <w:p w14:paraId="40FFCFC3" w14:textId="77777777" w:rsidR="001D43C9" w:rsidRDefault="001D43C9">
      <w:pPr>
        <w:spacing w:after="200"/>
      </w:pPr>
    </w:p>
    <w:p w14:paraId="40FFCFC4" w14:textId="77777777" w:rsidR="001D43C9" w:rsidRDefault="00000000">
      <w:pPr>
        <w:spacing w:after="160"/>
        <w:jc w:val="both"/>
      </w:pPr>
      <w:r>
        <w:rPr>
          <w:rFonts w:ascii="Calibri" w:eastAsia="Calibri" w:hAnsi="Calibri" w:cs="Calibri"/>
          <w:sz w:val="22"/>
          <w:szCs w:val="22"/>
        </w:rPr>
        <w:t>A suspicious-keyword flag was also engineered by checking for the presence of terms commonly associated with credential-harvesting pages (e.g. “login”, “verify”, “secure”, “bank”, “password”).</w:t>
      </w:r>
    </w:p>
    <w:p w14:paraId="40FFCFC5" w14:textId="77777777" w:rsidR="001D43C9" w:rsidRDefault="00000000">
      <w:pPr>
        <w:pStyle w:val="Heading2"/>
        <w:spacing w:before="250" w:after="120"/>
      </w:pPr>
      <w:r>
        <w:t>3.2 Exploratory Data Analysis</w:t>
      </w:r>
    </w:p>
    <w:p w14:paraId="40FFCFC6" w14:textId="77777777" w:rsidR="001D43C9" w:rsidRDefault="00000000">
      <w:pPr>
        <w:spacing w:after="160"/>
        <w:jc w:val="both"/>
      </w:pPr>
      <w:r>
        <w:rPr>
          <w:rFonts w:ascii="Calibri" w:eastAsia="Calibri" w:hAnsi="Calibri" w:cs="Calibri"/>
          <w:sz w:val="22"/>
          <w:szCs w:val="22"/>
        </w:rPr>
        <w:t>Exploratory analysis compared the distributions of engineered features across the benign and malicious classes. URL length and digit ratio distributions showed visible separation between classes, with malicious URLs tending toward greater length and higher digit ratios. Special character count and subdomain count also showed higher medians for malicious URLs, consistent with the practice of using obfuscated or deeply nested subdomains to imitate legitimate domains. A feature correlation heatmap was produced to check for redundancy among the engineered features prior to modelling.</w:t>
      </w:r>
    </w:p>
    <w:p w14:paraId="40FFCFC7" w14:textId="77777777" w:rsidR="001D43C9" w:rsidRDefault="00000000">
      <w:pPr>
        <w:pStyle w:val="Heading2"/>
        <w:spacing w:before="250" w:after="120"/>
      </w:pPr>
      <w:r>
        <w:t>3.3 Preprocessing</w:t>
      </w:r>
    </w:p>
    <w:p w14:paraId="40FFCFC8" w14:textId="77777777" w:rsidR="001D43C9" w:rsidRDefault="00000000">
      <w:pPr>
        <w:spacing w:after="160"/>
        <w:jc w:val="both"/>
      </w:pPr>
      <w:r>
        <w:rPr>
          <w:rFonts w:ascii="Calibri" w:eastAsia="Calibri" w:hAnsi="Calibri" w:cs="Calibri"/>
          <w:sz w:val="22"/>
          <w:szCs w:val="22"/>
        </w:rPr>
        <w:t>Features were split into training (80%) and test (20%) sets using stratified sampling to preserve class balance in both partitions. Feature scaling (standardization) was fit on the training set only and applied to the test set, to avoid information leakage from the test set into the scaling step.</w:t>
      </w:r>
    </w:p>
    <w:p w14:paraId="40FFCFC9" w14:textId="77777777" w:rsidR="001D43C9" w:rsidRDefault="00000000">
      <w:pPr>
        <w:pStyle w:val="Heading2"/>
        <w:spacing w:before="250" w:after="120"/>
      </w:pPr>
      <w:r>
        <w:t>3.4 Model Training</w:t>
      </w:r>
    </w:p>
    <w:p w14:paraId="40FFCFCA" w14:textId="77777777" w:rsidR="001D43C9" w:rsidRDefault="00000000">
      <w:pPr>
        <w:spacing w:after="160"/>
        <w:jc w:val="both"/>
      </w:pPr>
      <w:r>
        <w:rPr>
          <w:rFonts w:ascii="Calibri" w:eastAsia="Calibri" w:hAnsi="Calibri" w:cs="Calibri"/>
          <w:sz w:val="22"/>
          <w:szCs w:val="22"/>
        </w:rPr>
        <w:t>Two baseline classifiers were trained: Logistic Regression and a depth-constrained Decision Tree (max depth = 10, chosen to limit overfitting and preserve interpretability). Deep learning approaches were intentionally excluded, as the project scope specified foundational machine learning methods.</w:t>
      </w:r>
    </w:p>
    <w:p w14:paraId="40FFCFCB" w14:textId="77777777" w:rsidR="001D43C9" w:rsidRDefault="00000000">
      <w:pPr>
        <w:pStyle w:val="Heading1"/>
        <w:spacing w:before="300" w:after="150"/>
      </w:pPr>
      <w:r>
        <w:t>4. Results</w:t>
      </w:r>
    </w:p>
    <w:p w14:paraId="40FFCFCC" w14:textId="77777777" w:rsidR="001D43C9" w:rsidRDefault="00000000">
      <w:pPr>
        <w:spacing w:after="160"/>
        <w:jc w:val="both"/>
      </w:pPr>
      <w:r>
        <w:rPr>
          <w:rFonts w:ascii="Calibri" w:eastAsia="Calibri" w:hAnsi="Calibri" w:cs="Calibri"/>
          <w:sz w:val="22"/>
          <w:szCs w:val="22"/>
        </w:rPr>
        <w:t>Both models achieved strong performance on the held-out test set, as summarized in Table 2.</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1400"/>
        <w:gridCol w:w="1400"/>
        <w:gridCol w:w="1400"/>
        <w:gridCol w:w="1400"/>
      </w:tblGrid>
      <w:tr w:rsidR="001D43C9" w14:paraId="40FFCFD3" w14:textId="77777777">
        <w:tblPrEx>
          <w:tblCellMar>
            <w:top w:w="0" w:type="dxa"/>
            <w:bottom w:w="0" w:type="dxa"/>
          </w:tblCellMar>
        </w:tblPrEx>
        <w:tc>
          <w:tcPr>
            <w:tcW w:w="2600" w:type="dxa"/>
            <w:shd w:val="clear" w:color="auto" w:fill="1F3864"/>
          </w:tcPr>
          <w:p w14:paraId="40FFCFCD" w14:textId="77777777" w:rsidR="001D43C9" w:rsidRDefault="00000000">
            <w:pPr>
              <w:jc w:val="center"/>
            </w:pPr>
            <w:r>
              <w:rPr>
                <w:rFonts w:ascii="Calibri" w:eastAsia="Calibri" w:hAnsi="Calibri" w:cs="Calibri"/>
                <w:b/>
                <w:bCs/>
                <w:color w:val="FFFFFF"/>
              </w:rPr>
              <w:t>Model</w:t>
            </w:r>
          </w:p>
        </w:tc>
        <w:tc>
          <w:tcPr>
            <w:tcW w:w="1400" w:type="dxa"/>
            <w:shd w:val="clear" w:color="auto" w:fill="1F3864"/>
          </w:tcPr>
          <w:p w14:paraId="40FFCFCE" w14:textId="77777777" w:rsidR="001D43C9" w:rsidRDefault="00000000">
            <w:pPr>
              <w:jc w:val="center"/>
            </w:pPr>
            <w:r>
              <w:rPr>
                <w:rFonts w:ascii="Calibri" w:eastAsia="Calibri" w:hAnsi="Calibri" w:cs="Calibri"/>
                <w:b/>
                <w:bCs/>
                <w:color w:val="FFFFFF"/>
              </w:rPr>
              <w:t>Accuracy</w:t>
            </w:r>
          </w:p>
        </w:tc>
        <w:tc>
          <w:tcPr>
            <w:tcW w:w="1400" w:type="dxa"/>
            <w:shd w:val="clear" w:color="auto" w:fill="1F3864"/>
          </w:tcPr>
          <w:p w14:paraId="40FFCFCF" w14:textId="77777777" w:rsidR="001D43C9" w:rsidRDefault="00000000">
            <w:pPr>
              <w:jc w:val="center"/>
            </w:pPr>
            <w:r>
              <w:rPr>
                <w:rFonts w:ascii="Calibri" w:eastAsia="Calibri" w:hAnsi="Calibri" w:cs="Calibri"/>
                <w:b/>
                <w:bCs/>
                <w:color w:val="FFFFFF"/>
              </w:rPr>
              <w:t>Precision</w:t>
            </w:r>
          </w:p>
        </w:tc>
        <w:tc>
          <w:tcPr>
            <w:tcW w:w="1400" w:type="dxa"/>
            <w:shd w:val="clear" w:color="auto" w:fill="1F3864"/>
          </w:tcPr>
          <w:p w14:paraId="40FFCFD0" w14:textId="77777777" w:rsidR="001D43C9" w:rsidRDefault="00000000">
            <w:pPr>
              <w:jc w:val="center"/>
            </w:pPr>
            <w:r>
              <w:rPr>
                <w:rFonts w:ascii="Calibri" w:eastAsia="Calibri" w:hAnsi="Calibri" w:cs="Calibri"/>
                <w:b/>
                <w:bCs/>
                <w:color w:val="FFFFFF"/>
              </w:rPr>
              <w:t>Recall</w:t>
            </w:r>
          </w:p>
        </w:tc>
        <w:tc>
          <w:tcPr>
            <w:tcW w:w="1400" w:type="dxa"/>
            <w:shd w:val="clear" w:color="auto" w:fill="1F3864"/>
          </w:tcPr>
          <w:p w14:paraId="40FFCFD1" w14:textId="77777777" w:rsidR="001D43C9" w:rsidRDefault="00000000">
            <w:pPr>
              <w:jc w:val="center"/>
            </w:pPr>
            <w:r>
              <w:rPr>
                <w:rFonts w:ascii="Calibri" w:eastAsia="Calibri" w:hAnsi="Calibri" w:cs="Calibri"/>
                <w:b/>
                <w:bCs/>
                <w:color w:val="FFFFFF"/>
              </w:rPr>
              <w:t>F1-Score</w:t>
            </w:r>
          </w:p>
        </w:tc>
        <w:tc>
          <w:tcPr>
            <w:tcW w:w="1400" w:type="dxa"/>
            <w:shd w:val="clear" w:color="auto" w:fill="1F3864"/>
          </w:tcPr>
          <w:p w14:paraId="40FFCFD2" w14:textId="77777777" w:rsidR="001D43C9" w:rsidRDefault="00000000">
            <w:pPr>
              <w:jc w:val="center"/>
            </w:pPr>
            <w:r>
              <w:rPr>
                <w:rFonts w:ascii="Calibri" w:eastAsia="Calibri" w:hAnsi="Calibri" w:cs="Calibri"/>
                <w:b/>
                <w:bCs/>
                <w:color w:val="FFFFFF"/>
              </w:rPr>
              <w:t>ROC-AUC</w:t>
            </w:r>
          </w:p>
        </w:tc>
      </w:tr>
      <w:tr w:rsidR="001D43C9" w14:paraId="40FFCFDA" w14:textId="77777777">
        <w:tblPrEx>
          <w:tblCellMar>
            <w:top w:w="0" w:type="dxa"/>
            <w:bottom w:w="0" w:type="dxa"/>
          </w:tblCellMar>
        </w:tblPrEx>
        <w:tc>
          <w:tcPr>
            <w:tcW w:w="2600" w:type="dxa"/>
          </w:tcPr>
          <w:p w14:paraId="40FFCFD4" w14:textId="77777777" w:rsidR="001D43C9" w:rsidRDefault="00000000">
            <w:pPr>
              <w:jc w:val="center"/>
            </w:pPr>
            <w:r>
              <w:rPr>
                <w:rFonts w:ascii="Calibri" w:eastAsia="Calibri" w:hAnsi="Calibri" w:cs="Calibri"/>
                <w:color w:val="000000"/>
              </w:rPr>
              <w:t>Logistic Regression</w:t>
            </w:r>
          </w:p>
        </w:tc>
        <w:tc>
          <w:tcPr>
            <w:tcW w:w="1400" w:type="dxa"/>
          </w:tcPr>
          <w:p w14:paraId="40FFCFD5" w14:textId="77777777" w:rsidR="001D43C9" w:rsidRDefault="00000000">
            <w:pPr>
              <w:jc w:val="center"/>
            </w:pPr>
            <w:r>
              <w:rPr>
                <w:rFonts w:ascii="Calibri" w:eastAsia="Calibri" w:hAnsi="Calibri" w:cs="Calibri"/>
                <w:color w:val="000000"/>
              </w:rPr>
              <w:t>99.67%</w:t>
            </w:r>
          </w:p>
        </w:tc>
        <w:tc>
          <w:tcPr>
            <w:tcW w:w="1400" w:type="dxa"/>
          </w:tcPr>
          <w:p w14:paraId="40FFCFD6" w14:textId="77777777" w:rsidR="001D43C9" w:rsidRDefault="00000000">
            <w:pPr>
              <w:jc w:val="center"/>
            </w:pPr>
            <w:r>
              <w:rPr>
                <w:rFonts w:ascii="Calibri" w:eastAsia="Calibri" w:hAnsi="Calibri" w:cs="Calibri"/>
                <w:color w:val="000000"/>
              </w:rPr>
              <w:t>99.28%</w:t>
            </w:r>
          </w:p>
        </w:tc>
        <w:tc>
          <w:tcPr>
            <w:tcW w:w="1400" w:type="dxa"/>
          </w:tcPr>
          <w:p w14:paraId="40FFCFD7" w14:textId="77777777" w:rsidR="001D43C9" w:rsidRDefault="00000000">
            <w:pPr>
              <w:jc w:val="center"/>
            </w:pPr>
            <w:r>
              <w:rPr>
                <w:rFonts w:ascii="Calibri" w:eastAsia="Calibri" w:hAnsi="Calibri" w:cs="Calibri"/>
                <w:color w:val="000000"/>
              </w:rPr>
              <w:t>99.29%</w:t>
            </w:r>
          </w:p>
        </w:tc>
        <w:tc>
          <w:tcPr>
            <w:tcW w:w="1400" w:type="dxa"/>
          </w:tcPr>
          <w:p w14:paraId="40FFCFD8" w14:textId="77777777" w:rsidR="001D43C9" w:rsidRDefault="00000000">
            <w:pPr>
              <w:jc w:val="center"/>
            </w:pPr>
            <w:r>
              <w:rPr>
                <w:rFonts w:ascii="Calibri" w:eastAsia="Calibri" w:hAnsi="Calibri" w:cs="Calibri"/>
                <w:color w:val="000000"/>
              </w:rPr>
              <w:t>99.28%</w:t>
            </w:r>
          </w:p>
        </w:tc>
        <w:tc>
          <w:tcPr>
            <w:tcW w:w="1400" w:type="dxa"/>
          </w:tcPr>
          <w:p w14:paraId="40FFCFD9" w14:textId="77777777" w:rsidR="001D43C9" w:rsidRDefault="00000000">
            <w:pPr>
              <w:jc w:val="center"/>
            </w:pPr>
            <w:r>
              <w:rPr>
                <w:rFonts w:ascii="Calibri" w:eastAsia="Calibri" w:hAnsi="Calibri" w:cs="Calibri"/>
                <w:color w:val="000000"/>
              </w:rPr>
              <w:t>99.79%</w:t>
            </w:r>
          </w:p>
        </w:tc>
      </w:tr>
      <w:tr w:rsidR="001D43C9" w14:paraId="40FFCFE1" w14:textId="77777777">
        <w:tblPrEx>
          <w:tblCellMar>
            <w:top w:w="0" w:type="dxa"/>
            <w:bottom w:w="0" w:type="dxa"/>
          </w:tblCellMar>
        </w:tblPrEx>
        <w:tc>
          <w:tcPr>
            <w:tcW w:w="2600" w:type="dxa"/>
          </w:tcPr>
          <w:p w14:paraId="40FFCFDB" w14:textId="77777777" w:rsidR="001D43C9" w:rsidRDefault="00000000">
            <w:pPr>
              <w:jc w:val="center"/>
            </w:pPr>
            <w:r>
              <w:rPr>
                <w:rFonts w:ascii="Calibri" w:eastAsia="Calibri" w:hAnsi="Calibri" w:cs="Calibri"/>
                <w:color w:val="000000"/>
              </w:rPr>
              <w:t>Decision Tree</w:t>
            </w:r>
          </w:p>
        </w:tc>
        <w:tc>
          <w:tcPr>
            <w:tcW w:w="1400" w:type="dxa"/>
          </w:tcPr>
          <w:p w14:paraId="40FFCFDC" w14:textId="77777777" w:rsidR="001D43C9" w:rsidRDefault="00000000">
            <w:pPr>
              <w:jc w:val="center"/>
            </w:pPr>
            <w:r>
              <w:rPr>
                <w:rFonts w:ascii="Calibri" w:eastAsia="Calibri" w:hAnsi="Calibri" w:cs="Calibri"/>
                <w:color w:val="000000"/>
              </w:rPr>
              <w:t>99.71%</w:t>
            </w:r>
          </w:p>
        </w:tc>
        <w:tc>
          <w:tcPr>
            <w:tcW w:w="1400" w:type="dxa"/>
          </w:tcPr>
          <w:p w14:paraId="40FFCFDD" w14:textId="77777777" w:rsidR="001D43C9" w:rsidRDefault="00000000">
            <w:pPr>
              <w:jc w:val="center"/>
            </w:pPr>
            <w:r>
              <w:rPr>
                <w:rFonts w:ascii="Calibri" w:eastAsia="Calibri" w:hAnsi="Calibri" w:cs="Calibri"/>
                <w:color w:val="000000"/>
              </w:rPr>
              <w:t>99.62%</w:t>
            </w:r>
          </w:p>
        </w:tc>
        <w:tc>
          <w:tcPr>
            <w:tcW w:w="1400" w:type="dxa"/>
          </w:tcPr>
          <w:p w14:paraId="40FFCFDE" w14:textId="77777777" w:rsidR="001D43C9" w:rsidRDefault="00000000">
            <w:pPr>
              <w:jc w:val="center"/>
            </w:pPr>
            <w:r>
              <w:rPr>
                <w:rFonts w:ascii="Calibri" w:eastAsia="Calibri" w:hAnsi="Calibri" w:cs="Calibri"/>
                <w:color w:val="000000"/>
              </w:rPr>
              <w:t>99.12%</w:t>
            </w:r>
          </w:p>
        </w:tc>
        <w:tc>
          <w:tcPr>
            <w:tcW w:w="1400" w:type="dxa"/>
          </w:tcPr>
          <w:p w14:paraId="40FFCFDF" w14:textId="77777777" w:rsidR="001D43C9" w:rsidRDefault="00000000">
            <w:pPr>
              <w:jc w:val="center"/>
            </w:pPr>
            <w:r>
              <w:rPr>
                <w:rFonts w:ascii="Calibri" w:eastAsia="Calibri" w:hAnsi="Calibri" w:cs="Calibri"/>
                <w:color w:val="000000"/>
              </w:rPr>
              <w:t>99.37%</w:t>
            </w:r>
          </w:p>
        </w:tc>
        <w:tc>
          <w:tcPr>
            <w:tcW w:w="1400" w:type="dxa"/>
          </w:tcPr>
          <w:p w14:paraId="40FFCFE0" w14:textId="77777777" w:rsidR="001D43C9" w:rsidRDefault="00000000">
            <w:pPr>
              <w:jc w:val="center"/>
            </w:pPr>
            <w:r>
              <w:rPr>
                <w:rFonts w:ascii="Calibri" w:eastAsia="Calibri" w:hAnsi="Calibri" w:cs="Calibri"/>
                <w:color w:val="000000"/>
              </w:rPr>
              <w:t>99.77%</w:t>
            </w:r>
          </w:p>
        </w:tc>
      </w:tr>
    </w:tbl>
    <w:p w14:paraId="40FFCFE2" w14:textId="77777777" w:rsidR="001D43C9" w:rsidRDefault="00000000">
      <w:pPr>
        <w:spacing w:after="200"/>
        <w:jc w:val="center"/>
      </w:pPr>
      <w:r>
        <w:rPr>
          <w:rFonts w:ascii="Calibri" w:eastAsia="Calibri" w:hAnsi="Calibri" w:cs="Calibri"/>
          <w:i/>
          <w:iCs/>
        </w:rPr>
        <w:t>Table 2. Test-set performance of the two trained classifiers.</w:t>
      </w:r>
    </w:p>
    <w:p w14:paraId="40FFCFE3" w14:textId="77777777" w:rsidR="001D43C9" w:rsidRDefault="00000000">
      <w:pPr>
        <w:spacing w:after="160"/>
        <w:jc w:val="both"/>
      </w:pPr>
      <w:r>
        <w:rPr>
          <w:rFonts w:ascii="Calibri" w:eastAsia="Calibri" w:hAnsi="Calibri" w:cs="Calibri"/>
          <w:sz w:val="22"/>
          <w:szCs w:val="22"/>
        </w:rPr>
        <w:lastRenderedPageBreak/>
        <w:t>Logistic Regression was selected as the final model. While the Decision Tree achieved marginally higher accuracy and precision, Logistic Regression produced a slightly higher ROC-AUC and, importantly, better-calibrated probability outputs — the Decision Tree's leaf-based probabilities tend to cluster at a small number of fixed values, which is less suitable for a risk-score display in a user-facing application. Logistic Regression coefficients also offer a more direct interpretive story: each coefficient describes the direction and relative magnitude of a feature's effect on the log-odds of a URL being malicious.</w:t>
      </w:r>
    </w:p>
    <w:p w14:paraId="40FFCFE4" w14:textId="77777777" w:rsidR="001D43C9" w:rsidRDefault="00000000">
      <w:pPr>
        <w:pStyle w:val="Heading1"/>
        <w:spacing w:before="300" w:after="150"/>
      </w:pPr>
      <w:r>
        <w:t>5. Discussion</w:t>
      </w:r>
    </w:p>
    <w:p w14:paraId="40FFCFE5" w14:textId="77777777" w:rsidR="001D43C9" w:rsidRDefault="00000000">
      <w:pPr>
        <w:pStyle w:val="Heading2"/>
        <w:spacing w:before="250" w:after="120"/>
      </w:pPr>
      <w:r>
        <w:t>5.1 Feature Importance and a Key Limitation</w:t>
      </w:r>
    </w:p>
    <w:p w14:paraId="40FFCFE6" w14:textId="77777777" w:rsidR="001D43C9" w:rsidRDefault="00000000">
      <w:pPr>
        <w:spacing w:after="160"/>
        <w:jc w:val="both"/>
      </w:pPr>
      <w:r>
        <w:rPr>
          <w:rFonts w:ascii="Calibri" w:eastAsia="Calibri" w:hAnsi="Calibri" w:cs="Calibri"/>
          <w:sz w:val="22"/>
          <w:szCs w:val="22"/>
        </w:rPr>
        <w:t xml:space="preserve">Feature importance analysis identified </w:t>
      </w:r>
      <w:proofErr w:type="spellStart"/>
      <w:r>
        <w:rPr>
          <w:rFonts w:ascii="Calibri" w:eastAsia="Calibri" w:hAnsi="Calibri" w:cs="Calibri"/>
          <w:sz w:val="22"/>
          <w:szCs w:val="22"/>
        </w:rPr>
        <w:t>has_https</w:t>
      </w:r>
      <w:proofErr w:type="spellEnd"/>
      <w:r>
        <w:rPr>
          <w:rFonts w:ascii="Calibri" w:eastAsia="Calibri" w:hAnsi="Calibri" w:cs="Calibri"/>
          <w:sz w:val="22"/>
          <w:szCs w:val="22"/>
        </w:rPr>
        <w:t xml:space="preserve"> — whether the URL uses the HTTPS scheme — as the single most influential feature in both models. This arises because the benign URLs (Majestic Million, a list of established, reputable sites) are overwhelmingly HTTPS, while a large share of the malicious URLs (</w:t>
      </w:r>
      <w:proofErr w:type="spellStart"/>
      <w:r>
        <w:rPr>
          <w:rFonts w:ascii="Calibri" w:eastAsia="Calibri" w:hAnsi="Calibri" w:cs="Calibri"/>
          <w:sz w:val="22"/>
          <w:szCs w:val="22"/>
        </w:rPr>
        <w:t>PhishTank</w:t>
      </w:r>
      <w:proofErr w:type="spellEnd"/>
      <w:r>
        <w:rPr>
          <w:rFonts w:ascii="Calibri" w:eastAsia="Calibri" w:hAnsi="Calibri" w:cs="Calibri"/>
          <w:sz w:val="22"/>
          <w:szCs w:val="22"/>
        </w:rPr>
        <w:t>) are not.</w:t>
      </w:r>
    </w:p>
    <w:p w14:paraId="40FFCFE7" w14:textId="77777777" w:rsidR="001D43C9" w:rsidRDefault="00000000">
      <w:pPr>
        <w:spacing w:after="160"/>
        <w:jc w:val="both"/>
      </w:pPr>
      <w:r>
        <w:rPr>
          <w:rFonts w:ascii="Calibri" w:eastAsia="Calibri" w:hAnsi="Calibri" w:cs="Calibri"/>
          <w:sz w:val="22"/>
          <w:szCs w:val="22"/>
        </w:rPr>
        <w:t>This is an important limitation to state explicitly: the model has learned an association that is characteristic of how these two source datasets were collected, not a general law that HTTPS implies safety or that its absence implies malice. In practice, phishing sites increasingly adopt HTTPS themselves (since free certificate authorities make this trivial), and a model trained predominantly on non-HTTPS phishing examples may under-detect HTTPS-enabled phishing URLs in deployment. This should be treated as a direction for future improvement — for example, by curating a more HTTPS-balanced malicious URL sample — rather than a property of phishing detection in general.</w:t>
      </w:r>
    </w:p>
    <w:p w14:paraId="40FFCFE8" w14:textId="77777777" w:rsidR="001D43C9" w:rsidRDefault="00000000">
      <w:pPr>
        <w:pStyle w:val="Heading2"/>
        <w:spacing w:before="250" w:after="120"/>
      </w:pPr>
      <w:r>
        <w:t>5.2 Other Limitations</w:t>
      </w:r>
    </w:p>
    <w:p w14:paraId="40FFCFE9" w14:textId="77777777" w:rsidR="001D43C9" w:rsidRDefault="00000000">
      <w:pPr>
        <w:pStyle w:val="ListParagraph"/>
        <w:numPr>
          <w:ilvl w:val="0"/>
          <w:numId w:val="1"/>
        </w:numPr>
        <w:spacing w:after="80"/>
      </w:pPr>
      <w:r>
        <w:rPr>
          <w:rFonts w:ascii="Calibri" w:eastAsia="Calibri" w:hAnsi="Calibri" w:cs="Calibri"/>
          <w:sz w:val="22"/>
          <w:szCs w:val="22"/>
        </w:rPr>
        <w:t>Model performance is dataset-specific and may not generalize to phishing techniques or URL patterns not represented in the training data at the time of collection.</w:t>
      </w:r>
    </w:p>
    <w:p w14:paraId="40FFCFEA" w14:textId="77777777" w:rsidR="001D43C9" w:rsidRDefault="00000000">
      <w:pPr>
        <w:pStyle w:val="ListParagraph"/>
        <w:numPr>
          <w:ilvl w:val="0"/>
          <w:numId w:val="1"/>
        </w:numPr>
        <w:spacing w:after="80"/>
      </w:pPr>
      <w:r>
        <w:rPr>
          <w:rFonts w:ascii="Calibri" w:eastAsia="Calibri" w:hAnsi="Calibri" w:cs="Calibri"/>
          <w:sz w:val="22"/>
          <w:szCs w:val="22"/>
        </w:rPr>
        <w:t>No page content, HTML structure, or network-level signals (e.g. domain age, hosting provider) were used — only URL-string-derived features, per project scope.</w:t>
      </w:r>
    </w:p>
    <w:p w14:paraId="40FFCFEB" w14:textId="77777777" w:rsidR="001D43C9" w:rsidRDefault="00000000">
      <w:pPr>
        <w:pStyle w:val="ListParagraph"/>
        <w:numPr>
          <w:ilvl w:val="0"/>
          <w:numId w:val="1"/>
        </w:numPr>
        <w:spacing w:after="80"/>
      </w:pPr>
      <w:r>
        <w:rPr>
          <w:rFonts w:ascii="Calibri" w:eastAsia="Calibri" w:hAnsi="Calibri" w:cs="Calibri"/>
          <w:sz w:val="22"/>
          <w:szCs w:val="22"/>
        </w:rPr>
        <w:t>The dataset represents a snapshot in time; phishing tactics evolve, so periodic retraining would be necessary for sustained real-world accuracy.</w:t>
      </w:r>
    </w:p>
    <w:p w14:paraId="40FFCFEC" w14:textId="77777777" w:rsidR="001D43C9" w:rsidRDefault="00000000">
      <w:pPr>
        <w:pStyle w:val="Heading1"/>
        <w:spacing w:before="300" w:after="150"/>
      </w:pPr>
      <w:r>
        <w:t>6. Application</w:t>
      </w:r>
    </w:p>
    <w:p w14:paraId="40FFCFED" w14:textId="77777777" w:rsidR="001D43C9" w:rsidRDefault="00000000">
      <w:pPr>
        <w:spacing w:after="160"/>
        <w:jc w:val="both"/>
      </w:pPr>
      <w:r>
        <w:rPr>
          <w:rFonts w:ascii="Calibri" w:eastAsia="Calibri" w:hAnsi="Calibri" w:cs="Calibri"/>
          <w:sz w:val="22"/>
          <w:szCs w:val="22"/>
        </w:rPr>
        <w:t xml:space="preserve">A </w:t>
      </w:r>
      <w:proofErr w:type="spellStart"/>
      <w:r>
        <w:rPr>
          <w:rFonts w:ascii="Calibri" w:eastAsia="Calibri" w:hAnsi="Calibri" w:cs="Calibri"/>
          <w:sz w:val="22"/>
          <w:szCs w:val="22"/>
        </w:rPr>
        <w:t>Streamlit</w:t>
      </w:r>
      <w:proofErr w:type="spellEnd"/>
      <w:r>
        <w:rPr>
          <w:rFonts w:ascii="Calibri" w:eastAsia="Calibri" w:hAnsi="Calibri" w:cs="Calibri"/>
          <w:sz w:val="22"/>
          <w:szCs w:val="22"/>
        </w:rPr>
        <w:t xml:space="preserve"> web application was developed to demonstrate the model in an interactive setting. The application accepts a URL as input, applies the identical feature-extraction function used during training, scales the features, and returns a predicted class (benign/malicious) along with a risk probability score. Using the same feature-extraction function for both training and inference ensures there is no train/serve mismatch.</w:t>
      </w:r>
    </w:p>
    <w:p w14:paraId="40FFCFEE" w14:textId="77777777" w:rsidR="001D43C9" w:rsidRDefault="00000000">
      <w:pPr>
        <w:pStyle w:val="Heading1"/>
        <w:spacing w:before="300" w:after="150"/>
      </w:pPr>
      <w:r>
        <w:t>7. Conclusion</w:t>
      </w:r>
    </w:p>
    <w:p w14:paraId="40FFCFEF" w14:textId="77777777" w:rsidR="001D43C9" w:rsidRDefault="00000000">
      <w:pPr>
        <w:spacing w:after="160"/>
        <w:jc w:val="both"/>
      </w:pPr>
      <w:r>
        <w:rPr>
          <w:rFonts w:ascii="Calibri" w:eastAsia="Calibri" w:hAnsi="Calibri" w:cs="Calibri"/>
          <w:sz w:val="22"/>
          <w:szCs w:val="22"/>
        </w:rPr>
        <w:t xml:space="preserve">This project demonstrates that lightweight, interpretable machine learning models — trained on features engineered directly from the URL string — can achieve high accuracy on phishing URL classification without relying on page content or external lookups. Logistic Regression was selected as the final model for its balance of performance and interpretability. The analysis also highlights an important caveat regarding the HTTPS feature, underscoring the importance of critically examining feature importance </w:t>
      </w:r>
      <w:r>
        <w:rPr>
          <w:rFonts w:ascii="Calibri" w:eastAsia="Calibri" w:hAnsi="Calibri" w:cs="Calibri"/>
          <w:sz w:val="22"/>
          <w:szCs w:val="22"/>
        </w:rPr>
        <w:lastRenderedPageBreak/>
        <w:t>rather than treating high accuracy as evidence of a universally generalizable rule. Future work could incorporate a more HTTPS-balanced malicious sample, additional domain-reputation features, and periodic retraining to keep pace with evolving phishing tactics.</w:t>
      </w:r>
    </w:p>
    <w:p w14:paraId="40FFCFF0" w14:textId="77777777" w:rsidR="001D43C9" w:rsidRDefault="00000000">
      <w:pPr>
        <w:pStyle w:val="Heading1"/>
        <w:spacing w:before="300" w:after="150"/>
      </w:pPr>
      <w:r>
        <w:t>References</w:t>
      </w:r>
    </w:p>
    <w:p w14:paraId="40FFCFF1" w14:textId="77777777" w:rsidR="001D43C9" w:rsidRDefault="00000000">
      <w:pPr>
        <w:spacing w:after="160"/>
      </w:pPr>
      <w:proofErr w:type="spellStart"/>
      <w:r>
        <w:rPr>
          <w:rFonts w:ascii="Calibri" w:eastAsia="Calibri" w:hAnsi="Calibri" w:cs="Calibri"/>
          <w:sz w:val="22"/>
          <w:szCs w:val="22"/>
        </w:rPr>
        <w:t>PhishTank</w:t>
      </w:r>
      <w:proofErr w:type="spellEnd"/>
      <w:r>
        <w:rPr>
          <w:rFonts w:ascii="Calibri" w:eastAsia="Calibri" w:hAnsi="Calibri" w:cs="Calibri"/>
          <w:sz w:val="22"/>
          <w:szCs w:val="22"/>
        </w:rPr>
        <w:t>. Verified phishing URL database. https://www.phishtank.com</w:t>
      </w:r>
    </w:p>
    <w:p w14:paraId="40FFCFF2" w14:textId="77777777" w:rsidR="001D43C9" w:rsidRDefault="00000000">
      <w:pPr>
        <w:spacing w:after="160"/>
      </w:pPr>
      <w:r>
        <w:rPr>
          <w:rFonts w:ascii="Calibri" w:eastAsia="Calibri" w:hAnsi="Calibri" w:cs="Calibri"/>
          <w:sz w:val="22"/>
          <w:szCs w:val="22"/>
        </w:rPr>
        <w:t>Majestic Million. List of the top million websites by referring subnets. https://majestic.com/reports/majestic-million</w:t>
      </w:r>
    </w:p>
    <w:p w14:paraId="40FFCFF3" w14:textId="7F903CC5" w:rsidR="001D43C9" w:rsidRDefault="001D43C9">
      <w:pPr>
        <w:spacing w:after="160"/>
      </w:pPr>
    </w:p>
    <w:sectPr w:rsidR="001D43C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C4F7D"/>
    <w:multiLevelType w:val="hybridMultilevel"/>
    <w:tmpl w:val="8B64E9F6"/>
    <w:lvl w:ilvl="0" w:tplc="15A01B44">
      <w:start w:val="1"/>
      <w:numFmt w:val="bullet"/>
      <w:lvlText w:val="●"/>
      <w:lvlJc w:val="left"/>
      <w:pPr>
        <w:ind w:left="720" w:hanging="360"/>
      </w:pPr>
    </w:lvl>
    <w:lvl w:ilvl="1" w:tplc="60505820">
      <w:start w:val="1"/>
      <w:numFmt w:val="bullet"/>
      <w:lvlText w:val="○"/>
      <w:lvlJc w:val="left"/>
      <w:pPr>
        <w:ind w:left="1440" w:hanging="360"/>
      </w:pPr>
    </w:lvl>
    <w:lvl w:ilvl="2" w:tplc="49F81AAC">
      <w:start w:val="1"/>
      <w:numFmt w:val="bullet"/>
      <w:lvlText w:val="■"/>
      <w:lvlJc w:val="left"/>
      <w:pPr>
        <w:ind w:left="2160" w:hanging="360"/>
      </w:pPr>
    </w:lvl>
    <w:lvl w:ilvl="3" w:tplc="9B9C3EEC">
      <w:start w:val="1"/>
      <w:numFmt w:val="bullet"/>
      <w:lvlText w:val="●"/>
      <w:lvlJc w:val="left"/>
      <w:pPr>
        <w:ind w:left="2880" w:hanging="360"/>
      </w:pPr>
    </w:lvl>
    <w:lvl w:ilvl="4" w:tplc="327E665C">
      <w:start w:val="1"/>
      <w:numFmt w:val="bullet"/>
      <w:lvlText w:val="○"/>
      <w:lvlJc w:val="left"/>
      <w:pPr>
        <w:ind w:left="3600" w:hanging="360"/>
      </w:pPr>
    </w:lvl>
    <w:lvl w:ilvl="5" w:tplc="548C0AA6">
      <w:start w:val="1"/>
      <w:numFmt w:val="bullet"/>
      <w:lvlText w:val="■"/>
      <w:lvlJc w:val="left"/>
      <w:pPr>
        <w:ind w:left="4320" w:hanging="360"/>
      </w:pPr>
    </w:lvl>
    <w:lvl w:ilvl="6" w:tplc="F4C275C8">
      <w:start w:val="1"/>
      <w:numFmt w:val="bullet"/>
      <w:lvlText w:val="●"/>
      <w:lvlJc w:val="left"/>
      <w:pPr>
        <w:ind w:left="5040" w:hanging="360"/>
      </w:pPr>
    </w:lvl>
    <w:lvl w:ilvl="7" w:tplc="0330BC6A">
      <w:start w:val="1"/>
      <w:numFmt w:val="bullet"/>
      <w:lvlText w:val="●"/>
      <w:lvlJc w:val="left"/>
      <w:pPr>
        <w:ind w:left="5760" w:hanging="360"/>
      </w:pPr>
    </w:lvl>
    <w:lvl w:ilvl="8" w:tplc="A3465966">
      <w:start w:val="1"/>
      <w:numFmt w:val="bullet"/>
      <w:lvlText w:val="●"/>
      <w:lvlJc w:val="left"/>
      <w:pPr>
        <w:ind w:left="6480" w:hanging="360"/>
      </w:pPr>
    </w:lvl>
  </w:abstractNum>
  <w:num w:numId="1" w16cid:durableId="18273594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3C9"/>
    <w:rsid w:val="001D43C9"/>
    <w:rsid w:val="002A759E"/>
    <w:rsid w:val="002E4F39"/>
    <w:rsid w:val="00FA44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FCFA2"/>
  <w15:docId w15:val="{1CA1B6B1-01F7-4CC8-932E-0F3624FB9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4</Pages>
  <Words>1375</Words>
  <Characters>7840</Characters>
  <Application>Microsoft Office Word</Application>
  <DocSecurity>0</DocSecurity>
  <Lines>65</Lines>
  <Paragraphs>18</Paragraphs>
  <ScaleCrop>false</ScaleCrop>
  <Company/>
  <LinksUpToDate>false</LinksUpToDate>
  <CharactersWithSpaces>9197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SREE HARSHA</cp:lastModifiedBy>
  <cp:revision>3</cp:revision>
  <dcterms:created xsi:type="dcterms:W3CDTF">2026-09-26T19:21:00Z</dcterms:created>
  <dcterms:modified xsi:type="dcterms:W3CDTF">2026-09-27T08:26:00Z</dcterms:modified>
</cp:coreProperties>
</file>