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Quantifying and attributing standardization reproducibility in cheminformatics pipelines</w:t>
      </w:r>
    </w:p>
    <w:p>
      <w:r>
        <w:rPr>
          <w:b/>
        </w:rPr>
        <w:t>Draft manuscript.</w:t>
      </w:r>
      <w:r>
        <w:t xml:space="preserve"> Target venue: </w:t>
      </w:r>
      <w:r>
        <w:rPr>
          <w:i/>
        </w:rPr>
        <w:t>Journal of Cheminformatics</w:t>
      </w:r>
      <w:r>
        <w:t>.</w:t>
      </w:r>
    </w:p>
    <w:p>
      <w:r>
        <w:t xml:space="preserve">Every numeric value in the Results section is generated by </w:t>
      </w:r>
      <w:r>
        <w:rPr>
          <w:rFonts w:ascii="Consolas" w:hAnsi="Consolas"/>
          <w:color w:val="333333"/>
          <w:sz w:val="18"/>
        </w:rPr>
        <w:t>learning/research-track-R5-benchmark/analyse_sample.py</w:t>
      </w:r>
      <w:r>
        <w:t xml:space="preserve"> and stored in </w:t>
      </w:r>
      <w:r>
        <w:rPr>
          <w:rFonts w:ascii="Consolas" w:hAnsi="Consolas"/>
          <w:color w:val="333333"/>
          <w:sz w:val="18"/>
        </w:rPr>
        <w:t>chembl_results.json</w:t>
      </w:r>
      <w:r>
        <w:t xml:space="preserve">; </w:t>
      </w:r>
      <w:r>
        <w:rPr>
          <w:rFonts w:ascii="Consolas" w:hAnsi="Consolas"/>
          <w:color w:val="333333"/>
          <w:sz w:val="18"/>
        </w:rPr>
        <w:t>verify_numbers.py</w:t>
      </w:r>
      <w:r>
        <w:t xml:space="preserve"> checks the manuscript text against that file. Every reference is PubMed-verified (see </w:t>
      </w:r>
      <w:r>
        <w:rPr>
          <w:rFonts w:ascii="Consolas" w:hAnsi="Consolas"/>
          <w:color w:val="333333"/>
          <w:sz w:val="18"/>
        </w:rPr>
        <w:t>references.md</w:t>
      </w:r>
      <w:r>
        <w:t>).</w:t>
      </w:r>
    </w:p>
    <w:p/>
    <w:p>
      <w:pPr>
        <w:pStyle w:val="Heading1"/>
      </w:pPr>
      <w:r>
        <w:t>Abstract</w:t>
      </w:r>
    </w:p>
    <w:p>
      <w:r>
        <w:t xml:space="preserve">Molecular structure standardization — normalizing salts, charge states, tautomers, isotopes and stereochemistry to a canonical form — is a mandatory preprocessing step in essentially every cheminformatics pipeline, yet the </w:t>
      </w:r>
      <w:r>
        <w:rPr>
          <w:i/>
        </w:rPr>
        <w:t>protocols</w:t>
      </w:r>
      <w:r>
        <w:t xml:space="preserve"> used to perform it vary across tools, databases and individual configurations. Disagreement between standardization pipelines is documented at production scale, but existing analyses compare one pipeline against one reference and cannot say </w:t>
      </w:r>
      <w:r>
        <w:rPr>
          <w:i/>
        </w:rPr>
        <w:t>which</w:t>
      </w:r>
      <w:r>
        <w:t xml:space="preserve"> normalization decision produced a given disagreement. We present a measurement framework that treats standardization reproducibility as a quantifiable property of a dataset. Given an arbitrary set of protocols, the method determines whether they agree on each molecule's standardized identity — evaluated under two identity conventions, canonical SMILES and InChIKey, which we show are not interchangeable — and attributes each disagreement to a specific normalization operation by systematic ablation. Applied to a seeded random sample of 4,972 ChEMBL structures, three representative protocols (Minimal, ChEMBL-like, Aggressive) agreed on 54.1% of molecules under canonical-SMILES identity (95% CI 52.8–55.5%) and 57.7% under InChIKey identity (56.3–59.0%). Ablation attributed divergence predominantly to stereochemistry handling (66.6% of divergent molecules) and tautomer canonicalization (22.1%), with charge and fragment handling accounting for under 10% combined. We show that this spectrum is a joint property of dataset composition and protocol contrast rather than an intrinsic ranking of operations, and that a hand-assembled benchmark inverts it — an argument for auditing the dataset actually in use.</w:t>
      </w:r>
    </w:p>
    <w:p>
      <w:r>
        <w:t>To establish whether such divergence carries a practical cost, we applied the same protocols to 27,152 IC50 measurements across four targets. Because grouping by standardized identity is what deduplication does, protocol choice silently changes a dataset: the most aggressive protocol removed up to 9.5% of compounds by merging, and fused compounds whose measured activities differ by up to three log units — a thousandfold difference in potency, and on a cardiac-safety endpoint — into single training labels. Yet cross-validated model performance was statistically indistinguishable across protocols on all four targets. Standardization choice therefore corrupts specific labels while leaving the aggregate metrics used to validate pipelines unchanged, so unchanged model performance is not evidence that a standardization change was safe. The method and an open-source reference implementation are released as part of WaweKit.</w:t>
      </w:r>
    </w:p>
    <w:p/>
    <w:p>
      <w:pPr>
        <w:pStyle w:val="Heading1"/>
      </w:pPr>
      <w:r>
        <w:t>1. Introduction</w:t>
      </w:r>
    </w:p>
    <w:p>
      <w:r>
        <w:t>Structure standardization — the normalization of salts, charge states, tautomers, isotopic labels and stereochemistry to a canonical representation — is a mandatory preprocessing step in essentially every cheminformatics workflow. Similarity search, clustering, database deduplication and QSAR modelling all rest on the assumption that the same chemical entity is represented identically wherever it appears. Standardization is what makes that assumption hold.</w:t>
      </w:r>
    </w:p>
    <w:p>
      <w:r>
        <w:t xml:space="preserve">In practice, standardization is performed by a </w:t>
      </w:r>
      <w:r>
        <w:rPr>
          <w:i/>
        </w:rPr>
        <w:t>protocol</w:t>
      </w:r>
      <w:r>
        <w:t>: an ordered composition of normalization operations, each encoding a modelling decision. Whether to strip counter-ions, whether to neutralize formal charges, whether to select a canonical tautomer, whether to discard stereochemistry — these are choices, and different databases, software packages and individual configurations resolve them differently. Public infrastructure reflects this: the ChEMBL curation pipeline [1] and the PubChem standardization service [3] are independently designed, independently reasonable, and not equivalent.</w:t>
      </w:r>
    </w:p>
    <w:p>
      <w:r>
        <w:t xml:space="preserve">The consequence is that a molecule's standardized form — and therefore its identity within a dataset — can be </w:t>
      </w:r>
      <w:r>
        <w:rPr>
          <w:b/>
        </w:rPr>
        <w:t>pipeline-dependent</w:t>
      </w:r>
      <w:r>
        <w:t>. Two datasets curated under different standardization choices are not guaranteed to be directly comparable, and a result computed on one may not be reproducible from the other. That this matters downstream is established: automated curation of chemical structure and identity measurably changes QSAR model performance [5].</w:t>
      </w:r>
    </w:p>
    <w:p>
      <w:r>
        <w:t>The scale of pipeline dependence is not hypothetical. PubChem reports that 44% of structures passing its standardization are modified in the process, and that 60% of its standardized structures are not identical to the structure obtained by round-tripping through InChI, attributed primarily to a different preferred tautomeric form [3]. Tautomerism in particular is a catalogued source of representational ambiguity, with thousands of experimentally annotated tautomeric tuples documented across the literature [4].</w:t>
      </w:r>
    </w:p>
    <w:p>
      <w:r>
        <w:t xml:space="preserve">What existing work provides is standardization </w:t>
      </w:r>
      <w:r>
        <w:rPr>
          <w:i/>
        </w:rPr>
        <w:t>implementations</w:t>
      </w:r>
      <w:r>
        <w:t xml:space="preserve">, each encoding one set of choices, together with pairwise comparisons between a specific pipeline and a specific reference [3]. What is not available is a general method for asking, of an arbitrary set of protocols and an arbitrary dataset: how often do these protocols disagree, on which molecules, and — critically — </w:t>
      </w:r>
      <w:r>
        <w:rPr>
          <w:i/>
        </w:rPr>
        <w:t>because of which operation</w:t>
      </w:r>
      <w:r>
        <w:t>. Without per-operation attribution, a disagreement is an observation; with it, a disagreement becomes an actionable diagnostic pointing at the specific modelling decision responsible.</w:t>
      </w:r>
    </w:p>
    <w:p>
      <w:r>
        <w:t>We therefore treat standardization reproducibility as a measurable, first-class property of a dataset rather than an implicit assumption, and contribute:</w:t>
      </w:r>
    </w:p>
    <w:p>
      <w:pPr>
        <w:pStyle w:val="ListNumber"/>
      </w:pPr>
      <w:r>
        <w:t xml:space="preserve">A </w:t>
      </w:r>
      <w:r>
        <w:rPr>
          <w:b/>
        </w:rPr>
        <w:t>composable protocol model</w:t>
      </w:r>
      <w:r>
        <w:t xml:space="preserve"> (§2.1) in which standardization is expressed</w:t>
      </w:r>
    </w:p>
    <w:p>
      <w:r>
        <w:t>as a fixed-order sequence of independently toggleable operations, making two protocols directly comparable and any single operation's contribution isolable.</w:t>
      </w:r>
    </w:p>
    <w:p>
      <w:pPr>
        <w:pStyle w:val="ListNumber"/>
      </w:pPr>
      <w:r>
        <w:t xml:space="preserve">A </w:t>
      </w:r>
      <w:r>
        <w:rPr>
          <w:b/>
        </w:rPr>
        <w:t>dual-identity divergence measure</w:t>
      </w:r>
      <w:r>
        <w:t xml:space="preserve"> (§2.2), evaluating agreement</w:t>
      </w:r>
    </w:p>
    <w:p>
      <w:r>
        <w:t>separately under canonical-SMILES and InChIKey identity, because the two conventions can disagree about whether a given molecule is reproducible — InChI's internal normalization [2] absorbs differences that canonical SMILES exposes.</w:t>
      </w:r>
    </w:p>
    <w:p>
      <w:pPr>
        <w:pStyle w:val="ListNumber"/>
      </w:pPr>
      <w:r>
        <w:t xml:space="preserve">An </w:t>
      </w:r>
      <w:r>
        <w:rPr>
          <w:b/>
        </w:rPr>
        <w:t>ablation-based cause-attribution procedure</w:t>
      </w:r>
      <w:r>
        <w:t xml:space="preserve"> (§2.3) identifying, for</w:t>
      </w:r>
    </w:p>
    <w:p>
      <w:r>
        <w:t>each divergent molecule, which operation(s) are responsible.</w:t>
      </w:r>
    </w:p>
    <w:p>
      <w:pPr>
        <w:pStyle w:val="ListNumber"/>
      </w:pPr>
      <w:r>
        <w:t xml:space="preserve">An </w:t>
      </w:r>
      <w:r>
        <w:rPr>
          <w:b/>
        </w:rPr>
        <w:t>open-source reference implementation</w:t>
      </w:r>
      <w:r>
        <w:t xml:space="preserve"> with a reusable benchmark</w:t>
      </w:r>
    </w:p>
    <w:p>
      <w:r>
        <w:t>harness, applied to a seeded random sample of ChEMBL (§3).</w:t>
      </w:r>
    </w:p>
    <w:p>
      <w:pPr>
        <w:pStyle w:val="Heading2"/>
      </w:pPr>
      <w:r>
        <w:t>1.1 Relationship to prior work</w:t>
      </w:r>
    </w:p>
    <w:p>
      <w:r>
        <w:t xml:space="preserve">The closest prior art is PubChem's own analysis of its standardization service [3], which quantifies disagreement between one production pipeline and InChI round-tripping at full database scale. That work establishes that standardization disagreement is real and substantial; it does not generalize to arbitrary protocol sets, and it does not attribute disagreement to individual normalization operations, because its comparison is between two monolithic pipelines rather than between compositions of separable operations. Our contribution is the generalization along both axes — arbitrary </w:t>
      </w:r>
      <w:r>
        <w:rPr>
          <w:i/>
        </w:rPr>
        <w:t>N</w:t>
      </w:r>
      <w:r>
        <w:t xml:space="preserve"> protocols, and per-operation attribution — not the observation that standardization pipelines disagree, which is already documented.</w:t>
      </w:r>
    </w:p>
    <w:p/>
    <w:p>
      <w:pPr>
        <w:pStyle w:val="Heading1"/>
      </w:pPr>
      <w:r>
        <w:t>2. Methods</w:t>
      </w:r>
    </w:p>
    <w:p>
      <w:pPr>
        <w:pStyle w:val="Heading2"/>
      </w:pPr>
      <w:r>
        <w:t>2.1 Composable standardization protocols</w:t>
      </w:r>
    </w:p>
    <w:p>
      <w:r>
        <w:t xml:space="preserve">A standardization </w:t>
      </w:r>
      <w:r>
        <w:rPr>
          <w:b/>
        </w:rPr>
        <w:t>protocol</w:t>
      </w:r>
      <w:r>
        <w:t xml:space="preserve"> is defined as a named subset of eight operations, applied in a fixed, chemically motivated order. Six are provided by RDKit's </w:t>
      </w:r>
      <w:r>
        <w:rPr>
          <w:rFonts w:ascii="Consolas" w:hAnsi="Consolas"/>
          <w:color w:val="333333"/>
          <w:sz w:val="18"/>
        </w:rPr>
        <w:t>rdMolStandardize</w:t>
      </w:r>
      <w:r>
        <w:t xml:space="preserve"> module; the remaining two are elementary structural edits applied directly: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w:t>
            </w:r>
          </w:p>
        </w:tc>
        <w:tc>
          <w:tcPr>
            <w:tcW w:type="dxa" w:w="3120"/>
          </w:tcPr>
          <w:p>
            <w:r>
              <w:rPr>
                <w:b/>
                <w:sz w:val="18"/>
              </w:rPr>
            </w:r>
            <w:r>
              <w:rPr>
                <w:b/>
                <w:sz w:val="18"/>
              </w:rPr>
              <w:t>Operation</w:t>
            </w:r>
          </w:p>
        </w:tc>
        <w:tc>
          <w:tcPr>
            <w:tcW w:type="dxa" w:w="3120"/>
          </w:tcPr>
          <w:p>
            <w:r>
              <w:rPr>
                <w:b/>
                <w:sz w:val="18"/>
              </w:rPr>
            </w:r>
            <w:r>
              <w:rPr>
                <w:b/>
                <w:sz w:val="18"/>
              </w:rPr>
              <w:t>Implementation</w:t>
            </w:r>
          </w:p>
        </w:tc>
      </w:tr>
      <w:tr>
        <w:tc>
          <w:tcPr>
            <w:tcW w:type="dxa" w:w="3120"/>
          </w:tcPr>
          <w:p>
            <w:r>
              <w:rPr>
                <w:sz w:val="18"/>
              </w:rPr>
            </w:r>
            <w:r>
              <w:rPr>
                <w:sz w:val="18"/>
              </w:rPr>
              <w:t>1</w:t>
            </w:r>
          </w:p>
        </w:tc>
        <w:tc>
          <w:tcPr>
            <w:tcW w:type="dxa" w:w="3120"/>
          </w:tcPr>
          <w:p>
            <w:r>
              <w:rPr>
                <w:sz w:val="18"/>
              </w:rPr>
            </w:r>
            <w:r>
              <w:rPr>
                <w:sz w:val="18"/>
              </w:rPr>
              <w:t>Metal disconnection</w:t>
            </w:r>
          </w:p>
        </w:tc>
        <w:tc>
          <w:tcPr>
            <w:tcW w:type="dxa" w:w="3120"/>
          </w:tcPr>
          <w:p>
            <w:r>
              <w:rPr>
                <w:sz w:val="18"/>
              </w:rPr>
            </w:r>
            <w:r>
              <w:rPr>
                <w:rFonts w:ascii="Consolas" w:hAnsi="Consolas"/>
                <w:color w:val="333333"/>
                <w:sz w:val="18"/>
              </w:rPr>
              <w:t>MetalDisconnector</w:t>
            </w:r>
          </w:p>
        </w:tc>
      </w:tr>
      <w:tr>
        <w:tc>
          <w:tcPr>
            <w:tcW w:type="dxa" w:w="3120"/>
          </w:tcPr>
          <w:p>
            <w:r>
              <w:rPr>
                <w:sz w:val="18"/>
              </w:rPr>
            </w:r>
            <w:r>
              <w:rPr>
                <w:sz w:val="18"/>
              </w:rPr>
              <w:t>2</w:t>
            </w:r>
          </w:p>
        </w:tc>
        <w:tc>
          <w:tcPr>
            <w:tcW w:type="dxa" w:w="3120"/>
          </w:tcPr>
          <w:p>
            <w:r>
              <w:rPr>
                <w:sz w:val="18"/>
              </w:rPr>
            </w:r>
            <w:r>
              <w:rPr>
                <w:sz w:val="18"/>
              </w:rPr>
              <w:t>Functional-group normalization</w:t>
            </w:r>
          </w:p>
        </w:tc>
        <w:tc>
          <w:tcPr>
            <w:tcW w:type="dxa" w:w="3120"/>
          </w:tcPr>
          <w:p>
            <w:r>
              <w:rPr>
                <w:sz w:val="18"/>
              </w:rPr>
            </w:r>
            <w:r>
              <w:rPr>
                <w:rFonts w:ascii="Consolas" w:hAnsi="Consolas"/>
                <w:color w:val="333333"/>
                <w:sz w:val="18"/>
              </w:rPr>
              <w:t>Normalizer</w:t>
            </w:r>
          </w:p>
        </w:tc>
      </w:tr>
      <w:tr>
        <w:tc>
          <w:tcPr>
            <w:tcW w:type="dxa" w:w="3120"/>
          </w:tcPr>
          <w:p>
            <w:r>
              <w:rPr>
                <w:sz w:val="18"/>
              </w:rPr>
            </w:r>
            <w:r>
              <w:rPr>
                <w:sz w:val="18"/>
              </w:rPr>
              <w:t>3</w:t>
            </w:r>
          </w:p>
        </w:tc>
        <w:tc>
          <w:tcPr>
            <w:tcW w:type="dxa" w:w="3120"/>
          </w:tcPr>
          <w:p>
            <w:r>
              <w:rPr>
                <w:sz w:val="18"/>
              </w:rPr>
            </w:r>
            <w:r>
              <w:rPr>
                <w:sz w:val="18"/>
              </w:rPr>
              <w:t>Reionization</w:t>
            </w:r>
          </w:p>
        </w:tc>
        <w:tc>
          <w:tcPr>
            <w:tcW w:type="dxa" w:w="3120"/>
          </w:tcPr>
          <w:p>
            <w:r>
              <w:rPr>
                <w:sz w:val="18"/>
              </w:rPr>
            </w:r>
            <w:r>
              <w:rPr>
                <w:rFonts w:ascii="Consolas" w:hAnsi="Consolas"/>
                <w:color w:val="333333"/>
                <w:sz w:val="18"/>
              </w:rPr>
              <w:t>Reionizer</w:t>
            </w:r>
          </w:p>
        </w:tc>
      </w:tr>
      <w:tr>
        <w:tc>
          <w:tcPr>
            <w:tcW w:type="dxa" w:w="3120"/>
          </w:tcPr>
          <w:p>
            <w:r>
              <w:rPr>
                <w:sz w:val="18"/>
              </w:rPr>
            </w:r>
            <w:r>
              <w:rPr>
                <w:sz w:val="18"/>
              </w:rPr>
              <w:t>4</w:t>
            </w:r>
          </w:p>
        </w:tc>
        <w:tc>
          <w:tcPr>
            <w:tcW w:type="dxa" w:w="3120"/>
          </w:tcPr>
          <w:p>
            <w:r>
              <w:rPr>
                <w:sz w:val="18"/>
              </w:rPr>
            </w:r>
            <w:r>
              <w:rPr>
                <w:sz w:val="18"/>
              </w:rPr>
              <w:t>Parent-fragment selection (salt/solvent stripping)</w:t>
            </w:r>
          </w:p>
        </w:tc>
        <w:tc>
          <w:tcPr>
            <w:tcW w:type="dxa" w:w="3120"/>
          </w:tcPr>
          <w:p>
            <w:r>
              <w:rPr>
                <w:sz w:val="18"/>
              </w:rPr>
            </w:r>
            <w:r>
              <w:rPr>
                <w:rFonts w:ascii="Consolas" w:hAnsi="Consolas"/>
                <w:color w:val="333333"/>
                <w:sz w:val="18"/>
              </w:rPr>
              <w:t>LargestFragmentChooser</w:t>
            </w:r>
          </w:p>
        </w:tc>
      </w:tr>
      <w:tr>
        <w:tc>
          <w:tcPr>
            <w:tcW w:type="dxa" w:w="3120"/>
          </w:tcPr>
          <w:p>
            <w:r>
              <w:rPr>
                <w:sz w:val="18"/>
              </w:rPr>
            </w:r>
            <w:r>
              <w:rPr>
                <w:sz w:val="18"/>
              </w:rPr>
              <w:t>5</w:t>
            </w:r>
          </w:p>
        </w:tc>
        <w:tc>
          <w:tcPr>
            <w:tcW w:type="dxa" w:w="3120"/>
          </w:tcPr>
          <w:p>
            <w:r>
              <w:rPr>
                <w:sz w:val="18"/>
              </w:rPr>
            </w:r>
            <w:r>
              <w:rPr>
                <w:sz w:val="18"/>
              </w:rPr>
              <w:t>Charge neutralization</w:t>
            </w:r>
          </w:p>
        </w:tc>
        <w:tc>
          <w:tcPr>
            <w:tcW w:type="dxa" w:w="3120"/>
          </w:tcPr>
          <w:p>
            <w:r>
              <w:rPr>
                <w:sz w:val="18"/>
              </w:rPr>
            </w:r>
            <w:r>
              <w:rPr>
                <w:rFonts w:ascii="Consolas" w:hAnsi="Consolas"/>
                <w:color w:val="333333"/>
                <w:sz w:val="18"/>
              </w:rPr>
              <w:t>Uncharger</w:t>
            </w:r>
          </w:p>
        </w:tc>
      </w:tr>
      <w:tr>
        <w:tc>
          <w:tcPr>
            <w:tcW w:type="dxa" w:w="3120"/>
          </w:tcPr>
          <w:p>
            <w:r>
              <w:rPr>
                <w:sz w:val="18"/>
              </w:rPr>
            </w:r>
            <w:r>
              <w:rPr>
                <w:sz w:val="18"/>
              </w:rPr>
              <w:t>6</w:t>
            </w:r>
          </w:p>
        </w:tc>
        <w:tc>
          <w:tcPr>
            <w:tcW w:type="dxa" w:w="3120"/>
          </w:tcPr>
          <w:p>
            <w:r>
              <w:rPr>
                <w:sz w:val="18"/>
              </w:rPr>
            </w:r>
            <w:r>
              <w:rPr>
                <w:sz w:val="18"/>
              </w:rPr>
              <w:t>Isotope removal</w:t>
            </w:r>
          </w:p>
        </w:tc>
        <w:tc>
          <w:tcPr>
            <w:tcW w:type="dxa" w:w="3120"/>
          </w:tcPr>
          <w:p>
            <w:r>
              <w:rPr>
                <w:sz w:val="18"/>
              </w:rPr>
            </w:r>
            <w:r>
              <w:rPr>
                <w:sz w:val="18"/>
              </w:rPr>
              <w:t>clear all isotope labels</w:t>
            </w:r>
          </w:p>
        </w:tc>
      </w:tr>
      <w:tr>
        <w:tc>
          <w:tcPr>
            <w:tcW w:type="dxa" w:w="3120"/>
          </w:tcPr>
          <w:p>
            <w:r>
              <w:rPr>
                <w:sz w:val="18"/>
              </w:rPr>
            </w:r>
            <w:r>
              <w:rPr>
                <w:sz w:val="18"/>
              </w:rPr>
              <w:t>7</w:t>
            </w:r>
          </w:p>
        </w:tc>
        <w:tc>
          <w:tcPr>
            <w:tcW w:type="dxa" w:w="3120"/>
          </w:tcPr>
          <w:p>
            <w:r>
              <w:rPr>
                <w:sz w:val="18"/>
              </w:rPr>
            </w:r>
            <w:r>
              <w:rPr>
                <w:sz w:val="18"/>
              </w:rPr>
              <w:t>Stereochemistry removal</w:t>
            </w:r>
          </w:p>
        </w:tc>
        <w:tc>
          <w:tcPr>
            <w:tcW w:type="dxa" w:w="3120"/>
          </w:tcPr>
          <w:p>
            <w:r>
              <w:rPr>
                <w:sz w:val="18"/>
              </w:rPr>
            </w:r>
            <w:r>
              <w:rPr>
                <w:rFonts w:ascii="Consolas" w:hAnsi="Consolas"/>
                <w:color w:val="333333"/>
                <w:sz w:val="18"/>
              </w:rPr>
              <w:t>Chem.RemoveStereochemistry</w:t>
            </w:r>
          </w:p>
        </w:tc>
      </w:tr>
      <w:tr>
        <w:tc>
          <w:tcPr>
            <w:tcW w:type="dxa" w:w="3120"/>
          </w:tcPr>
          <w:p>
            <w:r>
              <w:rPr>
                <w:sz w:val="18"/>
              </w:rPr>
            </w:r>
            <w:r>
              <w:rPr>
                <w:sz w:val="18"/>
              </w:rPr>
              <w:t>8</w:t>
            </w:r>
          </w:p>
        </w:tc>
        <w:tc>
          <w:tcPr>
            <w:tcW w:type="dxa" w:w="3120"/>
          </w:tcPr>
          <w:p>
            <w:r>
              <w:rPr>
                <w:sz w:val="18"/>
              </w:rPr>
            </w:r>
            <w:r>
              <w:rPr>
                <w:sz w:val="18"/>
              </w:rPr>
              <w:t>Canonical tautomer selection</w:t>
            </w:r>
          </w:p>
        </w:tc>
        <w:tc>
          <w:tcPr>
            <w:tcW w:type="dxa" w:w="3120"/>
          </w:tcPr>
          <w:p>
            <w:r>
              <w:rPr>
                <w:sz w:val="18"/>
              </w:rPr>
            </w:r>
            <w:r>
              <w:rPr>
                <w:rFonts w:ascii="Consolas" w:hAnsi="Consolas"/>
                <w:color w:val="333333"/>
                <w:sz w:val="18"/>
              </w:rPr>
              <w:t>TautomerEnumerator.Canonicalize</w:t>
            </w:r>
          </w:p>
        </w:tc>
      </w:tr>
    </w:tbl>
    <w:p/>
    <w:p>
      <w:r>
        <w:t xml:space="preserve">The ordering is fixed across all protocols: disconnection and normalization precede fragment selection, which precedes charge handling, with tautomer canonicalization last. A protocol is therefore fully specified by </w:t>
      </w:r>
      <w:r>
        <w:rPr>
          <w:i/>
        </w:rPr>
        <w:t>which</w:t>
      </w:r>
      <w:r>
        <w:t xml:space="preserve"> operations it enables. Fixing the order is a deliberate design constraint — it means two protocols differ only in their operation sets, which is what makes their outputs comparable and any single operation's effect isolable by ablation. Standardization is applied to a copy of each input molecule; input structures are never mutated.</w:t>
      </w:r>
    </w:p>
    <w:p>
      <w:r>
        <w:t>Three representative protocols are used throughout:</w:t>
      </w:r>
    </w:p>
    <w:p>
      <w:pPr>
        <w:pStyle w:val="ListBullet"/>
      </w:pPr>
      <w:r>
        <w:rPr>
          <w:b/>
        </w:rPr>
        <w:t>Minimal</w:t>
      </w:r>
      <w:r>
        <w:t xml:space="preserve"> — normalization only (operation 2). A light-touch baseline</w:t>
      </w:r>
    </w:p>
    <w:p>
      <w:r>
        <w:t>representing the least a pipeline might reasonably do.</w:t>
      </w:r>
    </w:p>
    <w:p>
      <w:pPr>
        <w:pStyle w:val="ListBullet"/>
      </w:pPr>
      <w:r>
        <w:rPr>
          <w:b/>
        </w:rPr>
        <w:t>ChEMBL-like</w:t>
      </w:r>
      <w:r>
        <w:t xml:space="preserve"> — operations 1–5, deliberately </w:t>
      </w:r>
      <w:r>
        <w:rPr>
          <w:i/>
        </w:rPr>
        <w:t>excluding</w:t>
      </w:r>
      <w:r>
        <w:t xml:space="preserve"> tautomer</w:t>
      </w:r>
    </w:p>
    <w:p>
      <w:r>
        <w:t>canonicalization, approximating the published ChEMBL curation pipeline [1].</w:t>
      </w:r>
    </w:p>
    <w:p>
      <w:pPr>
        <w:pStyle w:val="ListBullet"/>
      </w:pPr>
      <w:r>
        <w:rPr>
          <w:b/>
        </w:rPr>
        <w:t>Aggressive</w:t>
      </w:r>
      <w:r>
        <w:t xml:space="preserve"> — all eight operations.</w:t>
      </w:r>
    </w:p>
    <w:p>
      <w:r>
        <w:t>These are not an exhaustive survey of deployed pipelines but three points spanning the range of reasonable practice, chosen so that the pairwise comparisons differ by controlled numbers of operations: ChEMBL-like versus Aggressive differ by three (isotope removal, stereochemistry removal, tautomer canonicalization), Minimal versus ChEMBL-like by four, and Minimal versus Aggressive by seven.</w:t>
      </w:r>
    </w:p>
    <w:p>
      <w:pPr>
        <w:pStyle w:val="Heading2"/>
      </w:pPr>
      <w:r>
        <w:t>2.2 Identity conventions and divergence</w:t>
      </w:r>
    </w:p>
    <w:p>
      <w:r>
        <w:t>For each standardized structure two identity representations are recorded:</w:t>
      </w:r>
    </w:p>
    <w:p>
      <w:pPr>
        <w:pStyle w:val="ListBullet"/>
      </w:pPr>
      <w:r>
        <w:rPr>
          <w:b/>
        </w:rPr>
        <w:t>Canonical SMILES</w:t>
      </w:r>
      <w:r>
        <w:t xml:space="preserve"> (RDKit </w:t>
      </w:r>
      <w:r>
        <w:rPr>
          <w:rFonts w:ascii="Consolas" w:hAnsi="Consolas"/>
          <w:color w:val="333333"/>
          <w:sz w:val="18"/>
        </w:rPr>
        <w:t>MolToSmiles</w:t>
      </w:r>
      <w:r>
        <w:t>), sensitive to any structural</w:t>
      </w:r>
    </w:p>
    <w:p>
      <w:r>
        <w:t>change, including tautomer choice.</w:t>
      </w:r>
    </w:p>
    <w:p>
      <w:pPr>
        <w:pStyle w:val="ListBullet"/>
      </w:pPr>
      <w:r>
        <w:rPr>
          <w:b/>
        </w:rPr>
        <w:t>InChIKey</w:t>
      </w:r>
      <w:r>
        <w:t xml:space="preserve"> (</w:t>
      </w:r>
      <w:r>
        <w:rPr>
          <w:rFonts w:ascii="Consolas" w:hAnsi="Consolas"/>
          <w:color w:val="333333"/>
          <w:sz w:val="18"/>
        </w:rPr>
        <w:t>MolToInchiKey</w:t>
      </w:r>
      <w:r>
        <w:t>), which applies InChI's own normalization</w:t>
      </w:r>
    </w:p>
    <w:p>
      <w:r>
        <w:t>layers — including tautomer normalization for a defined set of tautomer classes — independently of the protocol's operations [2].</w:t>
      </w:r>
    </w:p>
    <w:p>
      <w:r>
        <w:t xml:space="preserve">For a molecule audited under a protocol set, </w:t>
      </w:r>
      <w:r>
        <w:rPr>
          <w:b/>
        </w:rPr>
        <w:t>agreement</w:t>
      </w:r>
      <w:r>
        <w:t xml:space="preserve"> under an identity convention means all protocols produced an identical value. A molecule is </w:t>
      </w:r>
      <w:r>
        <w:rPr>
          <w:b/>
        </w:rPr>
        <w:t>labile</w:t>
      </w:r>
      <w:r>
        <w:t xml:space="preserve"> if it disagrees under </w:t>
      </w:r>
      <w:r>
        <w:rPr>
          <w:i/>
        </w:rPr>
        <w:t>either</w:t>
      </w:r>
      <w:r>
        <w:t xml:space="preserve"> convention. Both conventions are reported separately rather than one being selected as canonical, because they are not interchangeable proxies for chemical identity (§3.2).</w:t>
      </w:r>
    </w:p>
    <w:p>
      <w:r>
        <w:t>A protocol may fail on a molecule if RDKit rejects an intermediate structure. Such failures are recorded and excluded from the agreement computation for that molecule: a failure is evidence of fragility, not of divergence, and conflating the two would let two failed protocols count as agreeing with each other. Agreement is computed over the protocols that produced a valid identity, with the count of affected molecules reported separately.</w:t>
      </w:r>
    </w:p>
    <w:p>
      <w:pPr>
        <w:pStyle w:val="Heading2"/>
      </w:pPr>
      <w:r>
        <w:t>2.3 Ablation-based cause attribution</w:t>
      </w:r>
    </w:p>
    <w:p>
      <w:r>
        <w:t>For each labile molecule, the most operation-rich protocol in the comparison set is selected. For each of its enabled operations, evaluated in reverse application order, the molecule is re-standardized with that single operation disabled and the resulting identity compared against the full protocol's output. An operation whose removal changes the identity is recorded as an implicated cause, ranked by whether it changes InChIKey (deeper identity) or only canonical SMILES.</w:t>
      </w:r>
    </w:p>
    <w:p>
      <w:r>
        <w:t>Reverse application order reflects that later operations are more likely to be the proximate cause of a difference in the final structure. The procedure costs one additional standardization per enabled operation per labile molecule, bounded because at most eight operations exist.</w:t>
      </w:r>
    </w:p>
    <w:p>
      <w:r>
        <w:t xml:space="preserve">Two limitations follow directly from the construction. First, attribution is only possible among the operations in the protocol — divergence originating outside this set (a different aromaticity model, a different tautomer scoring function, a non-RDKit standardizer) cannot be detected. Second, when two operations jointly determine an outcome such that neither alone changes it, single-operation ablation attributes no cause; these molecules are reported as </w:t>
      </w:r>
      <w:r>
        <w:rPr>
          <w:i/>
        </w:rPr>
        <w:t>unattributed</w:t>
      </w:r>
      <w:r>
        <w:t xml:space="preserve"> rather than silently omitted, and their count is a direct measure of how often this occurs (§3.4).</w:t>
      </w:r>
    </w:p>
    <w:p>
      <w:pPr>
        <w:pStyle w:val="Heading2"/>
      </w:pPr>
      <w:r>
        <w:t>2.4 Dataset-level metrics</w:t>
      </w:r>
    </w:p>
    <w:p>
      <w:r>
        <w:t xml:space="preserve">From an audit over </w:t>
      </w:r>
      <w:r>
        <w:rPr>
          <w:i/>
        </w:rPr>
        <w:t>N</w:t>
      </w:r>
      <w:r>
        <w:t xml:space="preserve"> molecules and </w:t>
      </w:r>
      <w:r>
        <w:rPr>
          <w:i/>
        </w:rPr>
        <w:t>P</w:t>
      </w:r>
      <w:r>
        <w:t xml:space="preserve"> protocols we report:</w:t>
      </w:r>
    </w:p>
    <w:p>
      <w:pPr>
        <w:pStyle w:val="ListBullet"/>
      </w:pPr>
      <w:r>
        <w:rPr>
          <w:b/>
        </w:rPr>
        <w:t>Reproducibility score</w:t>
      </w:r>
      <w:r>
        <w:t>, per identity convention — the fraction of</w:t>
      </w:r>
    </w:p>
    <w:p>
      <w:r>
        <w:t xml:space="preserve">molecules on which all </w:t>
      </w:r>
      <w:r>
        <w:rPr>
          <w:i/>
        </w:rPr>
        <w:t>P</w:t>
      </w:r>
      <w:r>
        <w:t xml:space="preserve"> protocols agree.</w:t>
      </w:r>
    </w:p>
    <w:p>
      <w:pPr>
        <w:pStyle w:val="ListBullet"/>
      </w:pPr>
      <w:r>
        <w:rPr>
          <w:b/>
        </w:rPr>
        <w:t>Pairwise agreement</w:t>
      </w:r>
      <w:r>
        <w:t xml:space="preserve"> — for each protocol pair, the fraction of molecules on</w:t>
      </w:r>
    </w:p>
    <w:p>
      <w:r>
        <w:t>which that pair agrees, computed over molecules where both produced a valid identity.</w:t>
      </w:r>
    </w:p>
    <w:p>
      <w:pPr>
        <w:pStyle w:val="ListBullet"/>
      </w:pPr>
      <w:r>
        <w:rPr>
          <w:b/>
        </w:rPr>
        <w:t>Cause spectrum</w:t>
      </w:r>
      <w:r>
        <w:t xml:space="preserve"> — among labile molecules, the fraction implicating each</w:t>
      </w:r>
    </w:p>
    <w:p>
      <w:r>
        <w:t>operation. This does not sum to 1: a molecule may implicate several operations.</w:t>
      </w:r>
    </w:p>
    <w:p>
      <w:r>
        <w:t>Proportions are reported with 95% Wilson score intervals, which remain within [0, 1] near the boundaries and behave acceptably at the subgroup sizes involved in per-cause reporting, where the normal approximation does not. The intervals assume independent sampling; §3.1 quantifies the departure from that assumption introduced by the sampling design, and §4.3 discusses its consequence.</w:t>
      </w:r>
    </w:p>
    <w:p>
      <w:pPr>
        <w:pStyle w:val="Heading2"/>
      </w:pPr>
      <w:r>
        <w:t>2.5 Benchmark dataset and sampling design</w:t>
      </w:r>
    </w:p>
    <w:p>
      <w:r>
        <w:t xml:space="preserve">Structures were drawn from ChEMBL via its public REST API, which paginates by offset and provides no random-record endpoint. Drawing </w:t>
      </w:r>
      <w:r>
        <w:rPr>
          <w:i/>
        </w:rPr>
        <w:t>N</w:t>
      </w:r>
      <w:r>
        <w:t xml:space="preserve"> independent single-record requests would require </w:t>
      </w:r>
      <w:r>
        <w:rPr>
          <w:i/>
        </w:rPr>
        <w:t>N</w:t>
      </w:r>
      <w:r>
        <w:t xml:space="preserve"> round trips, so we used </w:t>
      </w:r>
      <w:r>
        <w:rPr>
          <w:b/>
        </w:rPr>
        <w:t>cluster sampling</w:t>
      </w:r>
      <w:r>
        <w:t>: 500 independent uniformly-random offsets into the molecule table (2,921,148 records at time of access), each returning a block of 10 consecutive records. The random seed and the drawn offsets are recorded, so the exact sample is regenerable.</w:t>
      </w:r>
    </w:p>
    <w:p>
      <w:r>
        <w:t>This design trades statistical independence for practicality, and the trade must be disclosed: records adjacent in ChEMBL's ordering frequently originate from the same publication or assay series, so blocks may contain structurally related analogues. §3.1 reports the realised effect.</w:t>
      </w:r>
    </w:p>
    <w:p>
      <w:pPr>
        <w:pStyle w:val="Heading2"/>
      </w:pPr>
      <w:r>
        <w:t>2.6 Downstream-impact experiment</w:t>
      </w:r>
    </w:p>
    <w:p>
      <w:r>
        <w:t>Measuring divergence does not establish that it costs anything. To test that, the same protocols were applied to bioactivity data and the consequences measured at three levels: dataset composition, label integrity, and model performance.</w:t>
      </w:r>
    </w:p>
    <w:p>
      <w:r>
        <w:rPr>
          <w:b/>
        </w:rPr>
        <w:t>Data.</w:t>
      </w:r>
      <w:r>
        <w:t xml:space="preserve"> IC50 measurements were retrieved from ChEMBL for four targets chosen to span cases where standardization should and should not be damaging: the μ-opioid receptor (CHEMBL233), whose pharmacology is strongly enantioselective and which should therefore be maximally sensitive to stereochemistry removal; EGFR (CHEMBL203) and VEGFR2 (CHEMBL279) as conventional kinase datasets; and hERG (CHEMBL240), a cardiac-safety endpoint where a mislabelled compound carries direct consequence. Only exact-relation (</w:t>
      </w:r>
      <w:r>
        <w:rPr>
          <w:rFonts w:ascii="Consolas" w:hAnsi="Consolas"/>
          <w:color w:val="333333"/>
          <w:sz w:val="18"/>
        </w:rPr>
        <w:t>=</w:t>
      </w:r>
      <w:r>
        <w:t>) IC50 values in nM were retained, since censored values cannot serve as regression targets; these were converted to pIC50 and replicate measurements per structure reduced to their median. This yielded 27,152 usable measurements.</w:t>
      </w:r>
    </w:p>
    <w:p>
      <w:r>
        <w:rPr>
          <w:b/>
        </w:rPr>
        <w:t>Merging and discordance.</w:t>
      </w:r>
      <w:r>
        <w:t xml:space="preserve"> Standardizing under a protocol and grouping by the resulting identity is precisely the operation deduplication performs, so each protocol produces its own version of the same nominal dataset. A group containing more than one distinct input structure is a </w:t>
      </w:r>
      <w:r>
        <w:rPr>
          <w:b/>
        </w:rPr>
        <w:t>merge</w:t>
      </w:r>
      <w:r>
        <w:t xml:space="preserve">. A merge is </w:t>
      </w:r>
      <w:r>
        <w:rPr>
          <w:b/>
        </w:rPr>
        <w:t>discordant</w:t>
      </w:r>
      <w:r>
        <w:t xml:space="preserve"> if the merged compounds' measured activities span more than one log unit — the conventional activity-cliff scale — and results are reported across a range of thresholds (0.5–2.0 log units) so no conclusion rests on that single cut. A discordant merge is not a bookkeeping artefact: whatever aggregation follows assigns the group an activity that none of its members possesses.</w:t>
      </w:r>
    </w:p>
    <w:p>
      <w:r>
        <w:rPr>
          <w:b/>
        </w:rPr>
        <w:t>Model performance.</w:t>
      </w:r>
      <w:r>
        <w:t xml:space="preserve"> Each protocol's dataset was modelled identically: Morgan fingerprints (radius 2, 2048 bits) </w:t>
      </w:r>
      <w:r>
        <w:rPr>
          <w:b/>
        </w:rPr>
        <w:t>including chirality</w:t>
      </w:r>
      <w:r>
        <w:t>, and random-forest regression (200 trees), evaluated by five-fold cross-validation repeated over three random seeds. Chirality is deliberately encoded — with an achiral fingerprint, enantiomers are already indistinguishable to the model and stereochemistry removal could not alter the features, so the experiment would answer a question nobody asked.</w:t>
      </w:r>
    </w:p>
    <w:p>
      <w:r>
        <w:t xml:space="preserve">Comparing across protocols requires care, because each protocol yields a differently-sized dataset and size confounds performance. The apparently obvious control — restricting to identities common to all protocols — is invalid here, and the reason generalises to any such comparison: identities are InChIKeys </w:t>
      </w:r>
      <w:r>
        <w:rPr>
          <w:i/>
        </w:rPr>
        <w:t>of the standardized structure</w:t>
      </w:r>
      <w:r>
        <w:t>, so a molecule that a protocol actually changed receives a different key under that protocol. Intersecting the keysets therefore selects exactly the molecules on which all protocols agreed, where every protocol's dataset is identical by construction and no difference can exist. We instead subsample each protocol's dataset to the smallest dataset's size with a fixed seed, holding size constant while standardization varies.</w:t>
      </w:r>
    </w:p>
    <w:p>
      <w:pPr>
        <w:pStyle w:val="Heading2"/>
      </w:pPr>
      <w:r>
        <w:t>2.7 Implementation and availability</w:t>
      </w:r>
    </w:p>
    <w:p>
      <w:r>
        <w:t>The measurement pipeline — protocol engine, divergence analysis, metrics, and a command-line benchmark harness — is implemented in Python 3.13.2 against RDKit 2026.03.4, with no dependency on any GUI layer, and is covered by 39 unit tests. An interactive front-end (WaweKit) additionally presents a protocol-agreement heatmap, a cause-spectrum chart and an inspectable list of labile molecules for exploratory curation; both interfaces call the identical underlying computation. The implementation, the sampling and analysis scripts, the drawn sample and the raw per-molecule results are released under the MIT license.</w:t>
      </w:r>
    </w:p>
    <w:p/>
    <w:p>
      <w:pPr>
        <w:pStyle w:val="Heading1"/>
      </w:pPr>
      <w:r>
        <w:t>3. Results</w:t>
      </w:r>
    </w:p>
    <w:p>
      <w:pPr>
        <w:pStyle w:val="Heading2"/>
      </w:pPr>
      <w:r>
        <w:t>3.1 Sample characteristics</w:t>
      </w:r>
    </w:p>
    <w:p>
      <w:r>
        <w:t>All 4,972 fetched structures parsed successfully under RDKit (0 unparseable), and no protocol failed on any molecule (0 molecules with failures), so every figure below is computed over the full sample rather than a surviving subset.</w:t>
      </w:r>
    </w:p>
    <w:p>
      <w:r>
        <w:t>Structural composition, which determines which operations can act at all: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Feature</w:t>
            </w:r>
          </w:p>
        </w:tc>
        <w:tc>
          <w:tcPr>
            <w:tcW w:type="dxa" w:w="3120"/>
          </w:tcPr>
          <w:p>
            <w:r>
              <w:rPr>
                <w:b/>
                <w:sz w:val="18"/>
              </w:rPr>
            </w:r>
            <w:r>
              <w:rPr>
                <w:b/>
                <w:sz w:val="18"/>
              </w:rPr>
              <w:t>Molecules</w:t>
            </w:r>
          </w:p>
        </w:tc>
        <w:tc>
          <w:tcPr>
            <w:tcW w:type="dxa" w:w="3120"/>
          </w:tcPr>
          <w:p>
            <w:r>
              <w:rPr>
                <w:b/>
                <w:sz w:val="18"/>
              </w:rPr>
            </w:r>
            <w:r>
              <w:rPr>
                <w:b/>
                <w:sz w:val="18"/>
              </w:rPr>
              <w:t>Fraction</w:t>
            </w:r>
          </w:p>
        </w:tc>
      </w:tr>
      <w:tr>
        <w:tc>
          <w:tcPr>
            <w:tcW w:type="dxa" w:w="3120"/>
          </w:tcPr>
          <w:p>
            <w:r>
              <w:rPr>
                <w:sz w:val="18"/>
              </w:rPr>
            </w:r>
            <w:r>
              <w:rPr>
                <w:sz w:val="18"/>
              </w:rPr>
              <w:t>Contains a stereocentre</w:t>
            </w:r>
          </w:p>
        </w:tc>
        <w:tc>
          <w:tcPr>
            <w:tcW w:type="dxa" w:w="3120"/>
          </w:tcPr>
          <w:p>
            <w:r>
              <w:rPr>
                <w:sz w:val="18"/>
              </w:rPr>
            </w:r>
            <w:r>
              <w:rPr>
                <w:sz w:val="18"/>
              </w:rPr>
              <w:t>2366</w:t>
            </w:r>
          </w:p>
        </w:tc>
        <w:tc>
          <w:tcPr>
            <w:tcW w:type="dxa" w:w="3120"/>
          </w:tcPr>
          <w:p>
            <w:r>
              <w:rPr>
                <w:sz w:val="18"/>
              </w:rPr>
            </w:r>
            <w:r>
              <w:rPr>
                <w:sz w:val="18"/>
              </w:rPr>
              <w:t>47.6%</w:t>
            </w:r>
          </w:p>
        </w:tc>
      </w:tr>
      <w:tr>
        <w:tc>
          <w:tcPr>
            <w:tcW w:type="dxa" w:w="3120"/>
          </w:tcPr>
          <w:p>
            <w:r>
              <w:rPr>
                <w:sz w:val="18"/>
              </w:rPr>
            </w:r>
            <w:r>
              <w:rPr>
                <w:sz w:val="18"/>
              </w:rPr>
              <w:t>Formally charged atom</w:t>
            </w:r>
          </w:p>
        </w:tc>
        <w:tc>
          <w:tcPr>
            <w:tcW w:type="dxa" w:w="3120"/>
          </w:tcPr>
          <w:p>
            <w:r>
              <w:rPr>
                <w:sz w:val="18"/>
              </w:rPr>
            </w:r>
            <w:r>
              <w:rPr>
                <w:sz w:val="18"/>
              </w:rPr>
              <w:t>313</w:t>
            </w:r>
          </w:p>
        </w:tc>
        <w:tc>
          <w:tcPr>
            <w:tcW w:type="dxa" w:w="3120"/>
          </w:tcPr>
          <w:p>
            <w:r>
              <w:rPr>
                <w:sz w:val="18"/>
              </w:rPr>
            </w:r>
            <w:r>
              <w:rPr>
                <w:sz w:val="18"/>
              </w:rPr>
              <w:t>6.3%</w:t>
            </w:r>
          </w:p>
        </w:tc>
      </w:tr>
      <w:tr>
        <w:tc>
          <w:tcPr>
            <w:tcW w:type="dxa" w:w="3120"/>
          </w:tcPr>
          <w:p>
            <w:r>
              <w:rPr>
                <w:sz w:val="18"/>
              </w:rPr>
            </w:r>
            <w:r>
              <w:rPr>
                <w:sz w:val="18"/>
              </w:rPr>
              <w:t>Multiple fragments (salt/solvate)</w:t>
            </w:r>
          </w:p>
        </w:tc>
        <w:tc>
          <w:tcPr>
            <w:tcW w:type="dxa" w:w="3120"/>
          </w:tcPr>
          <w:p>
            <w:r>
              <w:rPr>
                <w:sz w:val="18"/>
              </w:rPr>
            </w:r>
            <w:r>
              <w:rPr>
                <w:sz w:val="18"/>
              </w:rPr>
              <w:t>192</w:t>
            </w:r>
          </w:p>
        </w:tc>
        <w:tc>
          <w:tcPr>
            <w:tcW w:type="dxa" w:w="3120"/>
          </w:tcPr>
          <w:p>
            <w:r>
              <w:rPr>
                <w:sz w:val="18"/>
              </w:rPr>
            </w:r>
            <w:r>
              <w:rPr>
                <w:sz w:val="18"/>
              </w:rPr>
              <w:t>3.9%</w:t>
            </w:r>
          </w:p>
        </w:tc>
      </w:tr>
      <w:tr>
        <w:tc>
          <w:tcPr>
            <w:tcW w:type="dxa" w:w="3120"/>
          </w:tcPr>
          <w:p>
            <w:r>
              <w:rPr>
                <w:sz w:val="18"/>
              </w:rPr>
            </w:r>
            <w:r>
              <w:rPr>
                <w:sz w:val="18"/>
              </w:rPr>
              <w:t>Metal or uncommon element</w:t>
            </w:r>
          </w:p>
        </w:tc>
        <w:tc>
          <w:tcPr>
            <w:tcW w:type="dxa" w:w="3120"/>
          </w:tcPr>
          <w:p>
            <w:r>
              <w:rPr>
                <w:sz w:val="18"/>
              </w:rPr>
            </w:r>
            <w:r>
              <w:rPr>
                <w:sz w:val="18"/>
              </w:rPr>
              <w:t>66</w:t>
            </w:r>
          </w:p>
        </w:tc>
        <w:tc>
          <w:tcPr>
            <w:tcW w:type="dxa" w:w="3120"/>
          </w:tcPr>
          <w:p>
            <w:r>
              <w:rPr>
                <w:sz w:val="18"/>
              </w:rPr>
            </w:r>
            <w:r>
              <w:rPr>
                <w:sz w:val="18"/>
              </w:rPr>
              <w:t>1.3%</w:t>
            </w:r>
          </w:p>
        </w:tc>
      </w:tr>
      <w:tr>
        <w:tc>
          <w:tcPr>
            <w:tcW w:type="dxa" w:w="3120"/>
          </w:tcPr>
          <w:p>
            <w:r>
              <w:rPr>
                <w:sz w:val="18"/>
              </w:rPr>
            </w:r>
            <w:r>
              <w:rPr>
                <w:sz w:val="18"/>
              </w:rPr>
              <w:t>Isotopically labelled</w:t>
            </w:r>
          </w:p>
        </w:tc>
        <w:tc>
          <w:tcPr>
            <w:tcW w:type="dxa" w:w="3120"/>
          </w:tcPr>
          <w:p>
            <w:r>
              <w:rPr>
                <w:sz w:val="18"/>
              </w:rPr>
            </w:r>
            <w:r>
              <w:rPr>
                <w:sz w:val="18"/>
              </w:rPr>
              <w:t>6</w:t>
            </w:r>
          </w:p>
        </w:tc>
        <w:tc>
          <w:tcPr>
            <w:tcW w:type="dxa" w:w="3120"/>
          </w:tcPr>
          <w:p>
            <w:r>
              <w:rPr>
                <w:sz w:val="18"/>
              </w:rPr>
            </w:r>
            <w:r>
              <w:rPr>
                <w:sz w:val="18"/>
              </w:rPr>
              <w:t>0.1%</w:t>
            </w:r>
          </w:p>
        </w:tc>
      </w:tr>
    </w:tbl>
    <w:p/>
    <w:p>
      <w:r>
        <w:t>The sampling design's realised clustering was measurable: mean pairwise Tanimoto similarity within blocks was 0.206 against 0.112 between blocks (22,284 pairs each), i.e. within-block pairs are approximately 1.8× as similar as between-block pairs. The effective sample size is therefore smaller than the nominal 4,972, and the confidence intervals below are correspondingly optimistic (§4.3).</w:t>
      </w:r>
    </w:p>
    <w:p>
      <w:pPr>
        <w:pStyle w:val="Heading2"/>
      </w:pPr>
      <w:r>
        <w:t>3.2 The two identity conventions disagree about reproducibility</w:t>
      </w:r>
    </w:p>
    <w:p>
      <w:r>
        <w:t>Canonical-SMILES identity and InChIKey identity do not agree on which molecules are reproducible. Across the sample, 54.1% of molecules were reproducible under canonical SMILES against 57.7% under InChIKey — InChI's internal normalization absorbs differences that canonical SMILES exposes, so the same dataset appears more reproducible when identity is defined by InChIKey.</w:t>
      </w:r>
    </w:p>
    <w:p>
      <w:r>
        <w:t>The mechanism is visible in a single molecule. For 2-hydroxypyridine, enabling canonical-tautomer selection changes the canonical SMILES output (</w:t>
      </w:r>
      <w:r>
        <w:rPr>
          <w:rFonts w:ascii="Consolas" w:hAnsi="Consolas"/>
          <w:color w:val="333333"/>
          <w:sz w:val="18"/>
        </w:rPr>
        <w:t>Oc1ccccn1</w:t>
      </w:r>
      <w:r>
        <w:t xml:space="preserve"> → </w:t>
      </w:r>
      <w:r>
        <w:rPr>
          <w:rFonts w:ascii="Consolas" w:hAnsi="Consolas"/>
          <w:color w:val="333333"/>
          <w:sz w:val="18"/>
        </w:rPr>
        <w:t>O=c1cccc[nH]1</w:t>
      </w:r>
      <w:r>
        <w:t>) while leaving the InChIKey unchanged, because InChI's own normalization already collapses this tautomer pair [2]. A molecule can therefore be flagged as pipeline-dependent under one convention and fully reproducible under the other. Reporting a single reproducibility figure without naming the identity convention is consequently ambiguous, and a curation step that deduplicates by InChIKey is not equivalent to one that deduplicates by canonical SMILES.</w:t>
      </w:r>
    </w:p>
    <w:p>
      <w:pPr>
        <w:pStyle w:val="Heading2"/>
      </w:pPr>
      <w:r>
        <w:t>3.3 Protocol agreement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Metric</w:t>
            </w:r>
          </w:p>
        </w:tc>
        <w:tc>
          <w:tcPr>
            <w:tcW w:type="dxa" w:w="3120"/>
          </w:tcPr>
          <w:p>
            <w:r>
              <w:rPr>
                <w:b/>
                <w:sz w:val="18"/>
              </w:rPr>
            </w:r>
            <w:r>
              <w:rPr>
                <w:b/>
                <w:sz w:val="18"/>
              </w:rPr>
              <w:t>Value</w:t>
            </w:r>
          </w:p>
        </w:tc>
        <w:tc>
          <w:tcPr>
            <w:tcW w:type="dxa" w:w="3120"/>
          </w:tcPr>
          <w:p>
            <w:r>
              <w:rPr>
                <w:b/>
                <w:sz w:val="18"/>
              </w:rPr>
            </w:r>
            <w:r>
              <w:rPr>
                <w:b/>
                <w:sz w:val="18"/>
              </w:rPr>
              <w:t>95% CI</w:t>
            </w:r>
          </w:p>
        </w:tc>
      </w:tr>
      <w:tr>
        <w:tc>
          <w:tcPr>
            <w:tcW w:type="dxa" w:w="3120"/>
          </w:tcPr>
          <w:p>
            <w:r>
              <w:rPr>
                <w:sz w:val="18"/>
              </w:rPr>
            </w:r>
            <w:r>
              <w:rPr>
                <w:sz w:val="18"/>
              </w:rPr>
              <w:t>Molecules analysed</w:t>
            </w:r>
          </w:p>
        </w:tc>
        <w:tc>
          <w:tcPr>
            <w:tcW w:type="dxa" w:w="3120"/>
          </w:tcPr>
          <w:p>
            <w:r>
              <w:rPr>
                <w:sz w:val="18"/>
              </w:rPr>
            </w:r>
            <w:r>
              <w:rPr>
                <w:sz w:val="18"/>
              </w:rPr>
              <w:t>4972</w:t>
            </w:r>
          </w:p>
        </w:tc>
        <w:tc>
          <w:tcPr>
            <w:tcW w:type="dxa" w:w="3120"/>
          </w:tcPr>
          <w:p>
            <w:r>
              <w:rPr>
                <w:sz w:val="18"/>
              </w:rPr>
            </w:r>
            <w:r>
              <w:rPr>
                <w:sz w:val="18"/>
              </w:rPr>
              <w:t>—</w:t>
            </w:r>
          </w:p>
        </w:tc>
      </w:tr>
      <w:tr>
        <w:tc>
          <w:tcPr>
            <w:tcW w:type="dxa" w:w="3120"/>
          </w:tcPr>
          <w:p>
            <w:r>
              <w:rPr>
                <w:sz w:val="18"/>
              </w:rPr>
            </w:r>
            <w:r>
              <w:rPr>
                <w:sz w:val="18"/>
              </w:rPr>
              <w:t>Reproducible under canonical SMILES</w:t>
            </w:r>
          </w:p>
        </w:tc>
        <w:tc>
          <w:tcPr>
            <w:tcW w:type="dxa" w:w="3120"/>
          </w:tcPr>
          <w:p>
            <w:r>
              <w:rPr>
                <w:sz w:val="18"/>
              </w:rPr>
            </w:r>
            <w:r>
              <w:rPr>
                <w:sz w:val="18"/>
              </w:rPr>
              <w:t>54.1%</w:t>
            </w:r>
          </w:p>
        </w:tc>
        <w:tc>
          <w:tcPr>
            <w:tcW w:type="dxa" w:w="3120"/>
          </w:tcPr>
          <w:p>
            <w:r>
              <w:rPr>
                <w:sz w:val="18"/>
              </w:rPr>
            </w:r>
            <w:r>
              <w:rPr>
                <w:sz w:val="18"/>
              </w:rPr>
              <w:t>52.8–55.5%</w:t>
            </w:r>
          </w:p>
        </w:tc>
      </w:tr>
      <w:tr>
        <w:tc>
          <w:tcPr>
            <w:tcW w:type="dxa" w:w="3120"/>
          </w:tcPr>
          <w:p>
            <w:r>
              <w:rPr>
                <w:sz w:val="18"/>
              </w:rPr>
            </w:r>
            <w:r>
              <w:rPr>
                <w:sz w:val="18"/>
              </w:rPr>
              <w:t>Reproducible under InChIKey</w:t>
            </w:r>
          </w:p>
        </w:tc>
        <w:tc>
          <w:tcPr>
            <w:tcW w:type="dxa" w:w="3120"/>
          </w:tcPr>
          <w:p>
            <w:r>
              <w:rPr>
                <w:sz w:val="18"/>
              </w:rPr>
            </w:r>
            <w:r>
              <w:rPr>
                <w:sz w:val="18"/>
              </w:rPr>
              <w:t>57.7%</w:t>
            </w:r>
          </w:p>
        </w:tc>
        <w:tc>
          <w:tcPr>
            <w:tcW w:type="dxa" w:w="3120"/>
          </w:tcPr>
          <w:p>
            <w:r>
              <w:rPr>
                <w:sz w:val="18"/>
              </w:rPr>
            </w:r>
            <w:r>
              <w:rPr>
                <w:sz w:val="18"/>
              </w:rPr>
              <w:t>56.3–59.0%</w:t>
            </w:r>
          </w:p>
        </w:tc>
      </w:tr>
      <w:tr>
        <w:tc>
          <w:tcPr>
            <w:tcW w:type="dxa" w:w="3120"/>
          </w:tcPr>
          <w:p>
            <w:r>
              <w:rPr>
                <w:sz w:val="18"/>
              </w:rPr>
            </w:r>
            <w:r>
              <w:rPr>
                <w:sz w:val="18"/>
              </w:rPr>
              <w:t>Divergent (labile) molecules</w:t>
            </w:r>
          </w:p>
        </w:tc>
        <w:tc>
          <w:tcPr>
            <w:tcW w:type="dxa" w:w="3120"/>
          </w:tcPr>
          <w:p>
            <w:r>
              <w:rPr>
                <w:sz w:val="18"/>
              </w:rPr>
            </w:r>
            <w:r>
              <w:rPr>
                <w:sz w:val="18"/>
              </w:rPr>
              <w:t>2280 (45.9%)</w:t>
            </w:r>
          </w:p>
        </w:tc>
        <w:tc>
          <w:tcPr>
            <w:tcW w:type="dxa" w:w="3120"/>
          </w:tcPr>
          <w:p>
            <w:r>
              <w:rPr>
                <w:sz w:val="18"/>
              </w:rPr>
            </w:r>
            <w:r>
              <w:rPr>
                <w:sz w:val="18"/>
              </w:rPr>
              <w:t>—</w:t>
            </w:r>
          </w:p>
        </w:tc>
      </w:tr>
      <w:tr>
        <w:tc>
          <w:tcPr>
            <w:tcW w:type="dxa" w:w="3120"/>
          </w:tcPr>
          <w:p>
            <w:r>
              <w:rPr>
                <w:sz w:val="18"/>
              </w:rPr>
            </w:r>
            <w:r>
              <w:rPr>
                <w:sz w:val="18"/>
              </w:rPr>
              <w:t>Molecules with a protocol failure</w:t>
            </w:r>
          </w:p>
        </w:tc>
        <w:tc>
          <w:tcPr>
            <w:tcW w:type="dxa" w:w="3120"/>
          </w:tcPr>
          <w:p>
            <w:r>
              <w:rPr>
                <w:sz w:val="18"/>
              </w:rPr>
            </w:r>
            <w:r>
              <w:rPr>
                <w:sz w:val="18"/>
              </w:rPr>
              <w:t>0</w:t>
            </w:r>
          </w:p>
        </w:tc>
        <w:tc>
          <w:tcPr>
            <w:tcW w:type="dxa" w:w="3120"/>
          </w:tcPr>
          <w:p>
            <w:r>
              <w:rPr>
                <w:sz w:val="18"/>
              </w:rPr>
            </w:r>
            <w:r>
              <w:rPr>
                <w:sz w:val="18"/>
              </w:rPr>
              <w:t>—</w:t>
            </w:r>
          </w:p>
        </w:tc>
      </w:tr>
    </w:tbl>
    <w:p/>
    <w:p>
      <w:r>
        <w:t>Pairwise agreement (Figure 1):</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Protocol pair</w:t>
            </w:r>
          </w:p>
        </w:tc>
        <w:tc>
          <w:tcPr>
            <w:tcW w:type="dxa" w:w="2340"/>
          </w:tcPr>
          <w:p>
            <w:r>
              <w:rPr>
                <w:b/>
                <w:sz w:val="18"/>
              </w:rPr>
            </w:r>
            <w:r>
              <w:rPr>
                <w:b/>
                <w:sz w:val="18"/>
              </w:rPr>
              <w:t>Operations differing</w:t>
            </w:r>
          </w:p>
        </w:tc>
        <w:tc>
          <w:tcPr>
            <w:tcW w:type="dxa" w:w="2340"/>
          </w:tcPr>
          <w:p>
            <w:r>
              <w:rPr>
                <w:b/>
                <w:sz w:val="18"/>
              </w:rPr>
            </w:r>
            <w:r>
              <w:rPr>
                <w:b/>
                <w:sz w:val="18"/>
              </w:rPr>
              <w:t>InChIKey</w:t>
            </w:r>
          </w:p>
        </w:tc>
        <w:tc>
          <w:tcPr>
            <w:tcW w:type="dxa" w:w="2340"/>
          </w:tcPr>
          <w:p>
            <w:r>
              <w:rPr>
                <w:b/>
                <w:sz w:val="18"/>
              </w:rPr>
            </w:r>
            <w:r>
              <w:rPr>
                <w:b/>
                <w:sz w:val="18"/>
              </w:rPr>
              <w:t>Canonical SMILES</w:t>
            </w:r>
          </w:p>
        </w:tc>
      </w:tr>
      <w:tr>
        <w:tc>
          <w:tcPr>
            <w:tcW w:type="dxa" w:w="2340"/>
          </w:tcPr>
          <w:p>
            <w:r>
              <w:rPr>
                <w:sz w:val="18"/>
              </w:rPr>
            </w:r>
            <w:r>
              <w:rPr>
                <w:sz w:val="18"/>
              </w:rPr>
              <w:t>Minimal vs. ChEMBL-like</w:t>
            </w:r>
          </w:p>
        </w:tc>
        <w:tc>
          <w:tcPr>
            <w:tcW w:type="dxa" w:w="2340"/>
          </w:tcPr>
          <w:p>
            <w:r>
              <w:rPr>
                <w:sz w:val="18"/>
              </w:rPr>
            </w:r>
            <w:r>
              <w:rPr>
                <w:sz w:val="18"/>
              </w:rPr>
              <w:t>4</w:t>
            </w:r>
          </w:p>
        </w:tc>
        <w:tc>
          <w:tcPr>
            <w:tcW w:type="dxa" w:w="2340"/>
          </w:tcPr>
          <w:p>
            <w:r>
              <w:rPr>
                <w:sz w:val="18"/>
              </w:rPr>
            </w:r>
            <w:r>
              <w:rPr>
                <w:sz w:val="18"/>
              </w:rPr>
              <w:t>96.1%</w:t>
            </w:r>
          </w:p>
        </w:tc>
        <w:tc>
          <w:tcPr>
            <w:tcW w:type="dxa" w:w="2340"/>
          </w:tcPr>
          <w:p>
            <w:r>
              <w:rPr>
                <w:sz w:val="18"/>
              </w:rPr>
            </w:r>
            <w:r>
              <w:rPr>
                <w:sz w:val="18"/>
              </w:rPr>
              <w:t>96.1%</w:t>
            </w:r>
          </w:p>
        </w:tc>
      </w:tr>
      <w:tr>
        <w:tc>
          <w:tcPr>
            <w:tcW w:type="dxa" w:w="2340"/>
          </w:tcPr>
          <w:p>
            <w:r>
              <w:rPr>
                <w:sz w:val="18"/>
              </w:rPr>
            </w:r>
            <w:r>
              <w:rPr>
                <w:sz w:val="18"/>
              </w:rPr>
              <w:t>ChEMBL-like vs. Aggressive</w:t>
            </w:r>
          </w:p>
        </w:tc>
        <w:tc>
          <w:tcPr>
            <w:tcW w:type="dxa" w:w="2340"/>
          </w:tcPr>
          <w:p>
            <w:r>
              <w:rPr>
                <w:sz w:val="18"/>
              </w:rPr>
            </w:r>
            <w:r>
              <w:rPr>
                <w:sz w:val="18"/>
              </w:rPr>
              <w:t>3</w:t>
            </w:r>
          </w:p>
        </w:tc>
        <w:tc>
          <w:tcPr>
            <w:tcW w:type="dxa" w:w="2340"/>
          </w:tcPr>
          <w:p>
            <w:r>
              <w:rPr>
                <w:sz w:val="18"/>
              </w:rPr>
            </w:r>
            <w:r>
              <w:rPr>
                <w:sz w:val="18"/>
              </w:rPr>
              <w:t>60.0%</w:t>
            </w:r>
          </w:p>
        </w:tc>
        <w:tc>
          <w:tcPr>
            <w:tcW w:type="dxa" w:w="2340"/>
          </w:tcPr>
          <w:p>
            <w:r>
              <w:rPr>
                <w:sz w:val="18"/>
              </w:rPr>
            </w:r>
            <w:r>
              <w:rPr>
                <w:sz w:val="18"/>
              </w:rPr>
              <w:t>56.4%</w:t>
            </w:r>
          </w:p>
        </w:tc>
      </w:tr>
      <w:tr>
        <w:tc>
          <w:tcPr>
            <w:tcW w:type="dxa" w:w="2340"/>
          </w:tcPr>
          <w:p>
            <w:r>
              <w:rPr>
                <w:sz w:val="18"/>
              </w:rPr>
            </w:r>
            <w:r>
              <w:rPr>
                <w:sz w:val="18"/>
              </w:rPr>
              <w:t>Minimal vs. Aggressive</w:t>
            </w:r>
          </w:p>
        </w:tc>
        <w:tc>
          <w:tcPr>
            <w:tcW w:type="dxa" w:w="2340"/>
          </w:tcPr>
          <w:p>
            <w:r>
              <w:rPr>
                <w:sz w:val="18"/>
              </w:rPr>
            </w:r>
            <w:r>
              <w:rPr>
                <w:sz w:val="18"/>
              </w:rPr>
              <w:t>7</w:t>
            </w:r>
          </w:p>
        </w:tc>
        <w:tc>
          <w:tcPr>
            <w:tcW w:type="dxa" w:w="2340"/>
          </w:tcPr>
          <w:p>
            <w:r>
              <w:rPr>
                <w:sz w:val="18"/>
              </w:rPr>
            </w:r>
            <w:r>
              <w:rPr>
                <w:sz w:val="18"/>
              </w:rPr>
              <w:t>57.7%</w:t>
            </w:r>
          </w:p>
        </w:tc>
        <w:tc>
          <w:tcPr>
            <w:tcW w:type="dxa" w:w="2340"/>
          </w:tcPr>
          <w:p>
            <w:r>
              <w:rPr>
                <w:sz w:val="18"/>
              </w:rPr>
            </w:r>
            <w:r>
              <w:rPr>
                <w:sz w:val="18"/>
              </w:rPr>
              <w:t>54.1%</w:t>
            </w:r>
          </w:p>
        </w:tc>
      </w:tr>
    </w:tbl>
    <w:p/>
    <w:p>
      <w:r>
        <w:t xml:space="preserve">Agreement is not a simple function of how many operations two protocols differ by. Minimal and ChEMBL-like differ by four operations yet agree on 96.1% of molecules, while ChEMBL-like and Aggressive differ by only three yet agree on 60.0%. What matters is whether the differing operations are </w:t>
      </w:r>
      <w:r>
        <w:rPr>
          <w:i/>
        </w:rPr>
        <w:t>applicable to the data at hand</w:t>
      </w:r>
      <w:r>
        <w:t>: the four operations separating Minimal from ChEMBL-like — metal disconnection, reionization, fragment selection and charge neutralization — act on features present in only 3.9–6.3% of this sample (§3.1), whereas the three separating ChEMBL-like from Aggressive include stereochemistry removal, which applies to 47.6%.</w:t>
      </w:r>
    </w:p>
    <w:p>
      <w:r>
        <w:t>The high Minimal/ChEMBL-like agreement also has a direct explanation in the provenance of the data, discussed in §4.2: these structures have already passed ChEMBL's own curation pipeline, so the operations approximating that pipeline have comparatively little left to change.</w:t>
      </w:r>
    </w:p>
    <w:p>
      <w:pPr>
        <w:pStyle w:val="Heading2"/>
      </w:pPr>
      <w:r>
        <w:t>3.4 Divergence cause spectrum</w:t>
      </w:r>
    </w:p>
    <w:p>
      <w:r>
        <w:t>Ablation attributed causes as follows (Figure 2; fractions of the 2280 divergent molecules, not summing to 1 because a molecule may implicate several operations):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Operation</w:t>
            </w:r>
          </w:p>
        </w:tc>
        <w:tc>
          <w:tcPr>
            <w:tcW w:type="dxa" w:w="2340"/>
          </w:tcPr>
          <w:p>
            <w:r>
              <w:rPr>
                <w:b/>
                <w:sz w:val="18"/>
              </w:rPr>
            </w:r>
            <w:r>
              <w:rPr>
                <w:b/>
                <w:sz w:val="18"/>
              </w:rPr>
              <w:t>Fraction of divergent molecules</w:t>
            </w:r>
          </w:p>
        </w:tc>
        <w:tc>
          <w:tcPr>
            <w:tcW w:type="dxa" w:w="2340"/>
          </w:tcPr>
          <w:p>
            <w:r>
              <w:rPr>
                <w:b/>
                <w:sz w:val="18"/>
              </w:rPr>
            </w:r>
            <w:r>
              <w:rPr>
                <w:b/>
                <w:sz w:val="18"/>
              </w:rPr>
              <w:t>n</w:t>
            </w:r>
          </w:p>
        </w:tc>
        <w:tc>
          <w:tcPr>
            <w:tcW w:type="dxa" w:w="2340"/>
          </w:tcPr>
          <w:p>
            <w:r>
              <w:rPr>
                <w:b/>
                <w:sz w:val="18"/>
              </w:rPr>
            </w:r>
            <w:r>
              <w:rPr>
                <w:b/>
                <w:sz w:val="18"/>
              </w:rPr>
              <w:t>95% CI</w:t>
            </w:r>
          </w:p>
        </w:tc>
      </w:tr>
      <w:tr>
        <w:tc>
          <w:tcPr>
            <w:tcW w:type="dxa" w:w="2340"/>
          </w:tcPr>
          <w:p>
            <w:r>
              <w:rPr>
                <w:sz w:val="18"/>
              </w:rPr>
            </w:r>
            <w:r>
              <w:rPr>
                <w:sz w:val="18"/>
              </w:rPr>
              <w:t>Stereochemistry removal</w:t>
            </w:r>
          </w:p>
        </w:tc>
        <w:tc>
          <w:tcPr>
            <w:tcW w:type="dxa" w:w="2340"/>
          </w:tcPr>
          <w:p>
            <w:r>
              <w:rPr>
                <w:sz w:val="18"/>
              </w:rPr>
            </w:r>
            <w:r>
              <w:rPr>
                <w:sz w:val="18"/>
              </w:rPr>
              <w:t>66.6%</w:t>
            </w:r>
          </w:p>
        </w:tc>
        <w:tc>
          <w:tcPr>
            <w:tcW w:type="dxa" w:w="2340"/>
          </w:tcPr>
          <w:p>
            <w:r>
              <w:rPr>
                <w:sz w:val="18"/>
              </w:rPr>
            </w:r>
            <w:r>
              <w:rPr>
                <w:sz w:val="18"/>
              </w:rPr>
              <w:t>1518</w:t>
            </w:r>
          </w:p>
        </w:tc>
        <w:tc>
          <w:tcPr>
            <w:tcW w:type="dxa" w:w="2340"/>
          </w:tcPr>
          <w:p>
            <w:r>
              <w:rPr>
                <w:sz w:val="18"/>
              </w:rPr>
            </w:r>
            <w:r>
              <w:rPr>
                <w:sz w:val="18"/>
              </w:rPr>
              <w:t>64.6–68.5%</w:t>
            </w:r>
          </w:p>
        </w:tc>
      </w:tr>
      <w:tr>
        <w:tc>
          <w:tcPr>
            <w:tcW w:type="dxa" w:w="2340"/>
          </w:tcPr>
          <w:p>
            <w:r>
              <w:rPr>
                <w:sz w:val="18"/>
              </w:rPr>
            </w:r>
            <w:r>
              <w:rPr>
                <w:sz w:val="18"/>
              </w:rPr>
              <w:t>Canonical tautomer selection</w:t>
            </w:r>
          </w:p>
        </w:tc>
        <w:tc>
          <w:tcPr>
            <w:tcW w:type="dxa" w:w="2340"/>
          </w:tcPr>
          <w:p>
            <w:r>
              <w:rPr>
                <w:sz w:val="18"/>
              </w:rPr>
            </w:r>
            <w:r>
              <w:rPr>
                <w:sz w:val="18"/>
              </w:rPr>
              <w:t>22.1%</w:t>
            </w:r>
          </w:p>
        </w:tc>
        <w:tc>
          <w:tcPr>
            <w:tcW w:type="dxa" w:w="2340"/>
          </w:tcPr>
          <w:p>
            <w:r>
              <w:rPr>
                <w:sz w:val="18"/>
              </w:rPr>
            </w:r>
            <w:r>
              <w:rPr>
                <w:sz w:val="18"/>
              </w:rPr>
              <w:t>504</w:t>
            </w:r>
          </w:p>
        </w:tc>
        <w:tc>
          <w:tcPr>
            <w:tcW w:type="dxa" w:w="2340"/>
          </w:tcPr>
          <w:p>
            <w:r>
              <w:rPr>
                <w:sz w:val="18"/>
              </w:rPr>
            </w:r>
            <w:r>
              <w:rPr>
                <w:sz w:val="18"/>
              </w:rPr>
              <w:t>20.4–23.9%</w:t>
            </w:r>
          </w:p>
        </w:tc>
      </w:tr>
      <w:tr>
        <w:tc>
          <w:tcPr>
            <w:tcW w:type="dxa" w:w="2340"/>
          </w:tcPr>
          <w:p>
            <w:r>
              <w:rPr>
                <w:sz w:val="18"/>
              </w:rPr>
            </w:r>
            <w:r>
              <w:rPr>
                <w:sz w:val="18"/>
              </w:rPr>
              <w:t>Parent-fragment selection</w:t>
            </w:r>
          </w:p>
        </w:tc>
        <w:tc>
          <w:tcPr>
            <w:tcW w:type="dxa" w:w="2340"/>
          </w:tcPr>
          <w:p>
            <w:r>
              <w:rPr>
                <w:sz w:val="18"/>
              </w:rPr>
            </w:r>
            <w:r>
              <w:rPr>
                <w:sz w:val="18"/>
              </w:rPr>
              <w:t>8.4%</w:t>
            </w:r>
          </w:p>
        </w:tc>
        <w:tc>
          <w:tcPr>
            <w:tcW w:type="dxa" w:w="2340"/>
          </w:tcPr>
          <w:p>
            <w:r>
              <w:rPr>
                <w:sz w:val="18"/>
              </w:rPr>
            </w:r>
            <w:r>
              <w:rPr>
                <w:sz w:val="18"/>
              </w:rPr>
              <w:t>192</w:t>
            </w:r>
          </w:p>
        </w:tc>
        <w:tc>
          <w:tcPr>
            <w:tcW w:type="dxa" w:w="2340"/>
          </w:tcPr>
          <w:p>
            <w:r>
              <w:rPr>
                <w:sz w:val="18"/>
              </w:rPr>
            </w:r>
            <w:r>
              <w:rPr>
                <w:sz w:val="18"/>
              </w:rPr>
              <w:t>7.3–9.6%</w:t>
            </w:r>
          </w:p>
        </w:tc>
      </w:tr>
      <w:tr>
        <w:tc>
          <w:tcPr>
            <w:tcW w:type="dxa" w:w="2340"/>
          </w:tcPr>
          <w:p>
            <w:r>
              <w:rPr>
                <w:sz w:val="18"/>
              </w:rPr>
            </w:r>
            <w:r>
              <w:rPr>
                <w:sz w:val="18"/>
              </w:rPr>
              <w:t>Charge neutralization</w:t>
            </w:r>
          </w:p>
        </w:tc>
        <w:tc>
          <w:tcPr>
            <w:tcW w:type="dxa" w:w="2340"/>
          </w:tcPr>
          <w:p>
            <w:r>
              <w:rPr>
                <w:sz w:val="18"/>
              </w:rPr>
            </w:r>
            <w:r>
              <w:rPr>
                <w:sz w:val="18"/>
              </w:rPr>
              <w:t>1.1%</w:t>
            </w:r>
          </w:p>
        </w:tc>
        <w:tc>
          <w:tcPr>
            <w:tcW w:type="dxa" w:w="2340"/>
          </w:tcPr>
          <w:p>
            <w:r>
              <w:rPr>
                <w:sz w:val="18"/>
              </w:rPr>
            </w:r>
            <w:r>
              <w:rPr>
                <w:sz w:val="18"/>
              </w:rPr>
              <w:t>26</w:t>
            </w:r>
          </w:p>
        </w:tc>
        <w:tc>
          <w:tcPr>
            <w:tcW w:type="dxa" w:w="2340"/>
          </w:tcPr>
          <w:p>
            <w:r>
              <w:rPr>
                <w:sz w:val="18"/>
              </w:rPr>
            </w:r>
            <w:r>
              <w:rPr>
                <w:sz w:val="18"/>
              </w:rPr>
              <w:t>0.8–1.7%</w:t>
            </w:r>
          </w:p>
        </w:tc>
      </w:tr>
      <w:tr>
        <w:tc>
          <w:tcPr>
            <w:tcW w:type="dxa" w:w="2340"/>
          </w:tcPr>
          <w:p>
            <w:r>
              <w:rPr>
                <w:sz w:val="18"/>
              </w:rPr>
            </w:r>
            <w:r>
              <w:rPr>
                <w:sz w:val="18"/>
              </w:rPr>
              <w:t>Isotope removal</w:t>
            </w:r>
          </w:p>
        </w:tc>
        <w:tc>
          <w:tcPr>
            <w:tcW w:type="dxa" w:w="2340"/>
          </w:tcPr>
          <w:p>
            <w:r>
              <w:rPr>
                <w:sz w:val="18"/>
              </w:rPr>
            </w:r>
            <w:r>
              <w:rPr>
                <w:sz w:val="18"/>
              </w:rPr>
              <w:t>0.3%</w:t>
            </w:r>
          </w:p>
        </w:tc>
        <w:tc>
          <w:tcPr>
            <w:tcW w:type="dxa" w:w="2340"/>
          </w:tcPr>
          <w:p>
            <w:r>
              <w:rPr>
                <w:sz w:val="18"/>
              </w:rPr>
            </w:r>
            <w:r>
              <w:rPr>
                <w:sz w:val="18"/>
              </w:rPr>
              <w:t>6</w:t>
            </w:r>
          </w:p>
        </w:tc>
        <w:tc>
          <w:tcPr>
            <w:tcW w:type="dxa" w:w="2340"/>
          </w:tcPr>
          <w:p>
            <w:r>
              <w:rPr>
                <w:sz w:val="18"/>
              </w:rPr>
            </w:r>
            <w:r>
              <w:rPr>
                <w:sz w:val="18"/>
              </w:rPr>
              <w:t>0.1–0.6%</w:t>
            </w:r>
          </w:p>
        </w:tc>
      </w:tr>
      <w:tr>
        <w:tc>
          <w:tcPr>
            <w:tcW w:type="dxa" w:w="2340"/>
          </w:tcPr>
          <w:p>
            <w:r>
              <w:rPr>
                <w:sz w:val="18"/>
              </w:rPr>
            </w:r>
            <w:r>
              <w:rPr>
                <w:sz w:val="18"/>
              </w:rPr>
              <w:t>Functional-group normalization</w:t>
            </w:r>
          </w:p>
        </w:tc>
        <w:tc>
          <w:tcPr>
            <w:tcW w:type="dxa" w:w="2340"/>
          </w:tcPr>
          <w:p>
            <w:r>
              <w:rPr>
                <w:sz w:val="18"/>
              </w:rPr>
            </w:r>
            <w:r>
              <w:rPr>
                <w:sz w:val="18"/>
              </w:rPr>
              <w:t>0.1%</w:t>
            </w:r>
          </w:p>
        </w:tc>
        <w:tc>
          <w:tcPr>
            <w:tcW w:type="dxa" w:w="2340"/>
          </w:tcPr>
          <w:p>
            <w:r>
              <w:rPr>
                <w:sz w:val="18"/>
              </w:rPr>
            </w:r>
            <w:r>
              <w:rPr>
                <w:sz w:val="18"/>
              </w:rPr>
              <w:t>2</w:t>
            </w:r>
          </w:p>
        </w:tc>
        <w:tc>
          <w:tcPr>
            <w:tcW w:type="dxa" w:w="2340"/>
          </w:tcPr>
          <w:p>
            <w:r>
              <w:rPr>
                <w:sz w:val="18"/>
              </w:rPr>
            </w:r>
            <w:r>
              <w:rPr>
                <w:sz w:val="18"/>
              </w:rPr>
              <w:t>0.0–0.3%</w:t>
            </w:r>
          </w:p>
        </w:tc>
      </w:tr>
    </w:tbl>
    <w:p/>
    <w:p>
      <w:r>
        <w:t xml:space="preserve">278 divergent molecules (12.2% of divergent molecules) were </w:t>
      </w:r>
      <w:r>
        <w:rPr>
          <w:b/>
        </w:rPr>
        <w:t>unattributed</w:t>
      </w:r>
      <w:r>
        <w:t xml:space="preserve"> — no single-operation ablation changed the outcome, indicating divergence determined jointly by two or more operations. This is the measured size of the single-operation ablation blind spot described in §2.3.</w:t>
      </w:r>
    </w:p>
    <w:p>
      <w:r>
        <w:rPr>
          <w:b/>
        </w:rPr>
        <w:t>The spectrum reflects protocol contrast and dataset composition, not an intrinsic ranking of operations.</w:t>
      </w:r>
      <w:r>
        <w:t xml:space="preserve"> Stereochemistry removal is implicated in 1518 molecules; the sample contains 1505 molecules with at least one </w:t>
      </w:r>
      <w:r>
        <w:rPr>
          <w:i/>
        </w:rPr>
        <w:t>assigned</w:t>
      </w:r>
      <w:r>
        <w:t xml:space="preserve"> stereocentre. The near-identity of these counts shows the mechanism plainly: stereochemistry removal is enabled in Aggressive and in neither other protocol, so essentially every molecule with defined stereochemistry diverges, by construction. The same logic explains fragment selection's 8.4% against a 3.9% prevalence of multi-fragment structures, and isotope removal's 0.3% against 0.1% isotopically labelled.</w:t>
      </w:r>
    </w:p>
    <w:p>
      <w:r>
        <w:t xml:space="preserve">The correct reading is therefore </w:t>
      </w:r>
      <w:r>
        <w:rPr>
          <w:i/>
        </w:rPr>
        <w:t>"given these three protocols and this dataset, stereochemistry handling accounts for two thirds of disagreement"</w:t>
      </w:r>
      <w:r>
        <w:t xml:space="preserve"> — which is exactly the question a curator auditing their own pipeline needs answered — and not </w:t>
      </w:r>
      <w:r>
        <w:rPr>
          <w:i/>
        </w:rPr>
        <w:t>"stereochemistry handling is the most problematic standardization operation in general."</w:t>
      </w:r>
      <w:r>
        <w:t xml:space="preserve"> The cause spectrum is a property of the comparison, and it is only interpretable alongside the composition table in §3.1.</w:t>
      </w:r>
    </w:p>
    <w:p>
      <w:pPr>
        <w:pStyle w:val="Heading2"/>
      </w:pPr>
      <w:r>
        <w:t>3.5 Sensitivity to a single protocol design choice</w:t>
      </w:r>
    </w:p>
    <w:p>
      <w:r>
        <w:t>Because §3.4 shows the cause spectrum to be a property of the comparison rather than of the operations, the natural test is to change the comparison. Repeating the audit with stereochemistry removal disabled in the Aggressive protocol — leaving all else identical — gives: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Metric</w:t>
            </w:r>
          </w:p>
        </w:tc>
        <w:tc>
          <w:tcPr>
            <w:tcW w:type="dxa" w:w="3120"/>
          </w:tcPr>
          <w:p>
            <w:r>
              <w:rPr>
                <w:b/>
                <w:sz w:val="18"/>
              </w:rPr>
            </w:r>
            <w:r>
              <w:rPr>
                <w:b/>
                <w:sz w:val="18"/>
              </w:rPr>
              <w:t>Full comparison</w:t>
            </w:r>
          </w:p>
        </w:tc>
        <w:tc>
          <w:tcPr>
            <w:tcW w:type="dxa" w:w="3120"/>
          </w:tcPr>
          <w:p>
            <w:r>
              <w:rPr>
                <w:b/>
                <w:sz w:val="18"/>
              </w:rPr>
            </w:r>
            <w:r>
              <w:rPr>
                <w:b/>
                <w:sz w:val="18"/>
              </w:rPr>
              <w:t>Without stereochemistry removal</w:t>
            </w:r>
          </w:p>
        </w:tc>
      </w:tr>
      <w:tr>
        <w:tc>
          <w:tcPr>
            <w:tcW w:type="dxa" w:w="3120"/>
          </w:tcPr>
          <w:p>
            <w:r>
              <w:rPr>
                <w:sz w:val="18"/>
              </w:rPr>
            </w:r>
            <w:r>
              <w:rPr>
                <w:sz w:val="18"/>
              </w:rPr>
              <w:t>Reproducible under canonical SMILES</w:t>
            </w:r>
          </w:p>
        </w:tc>
        <w:tc>
          <w:tcPr>
            <w:tcW w:type="dxa" w:w="3120"/>
          </w:tcPr>
          <w:p>
            <w:r>
              <w:rPr>
                <w:sz w:val="18"/>
              </w:rPr>
            </w:r>
            <w:r>
              <w:rPr>
                <w:sz w:val="18"/>
              </w:rPr>
              <w:t>54.1%</w:t>
            </w:r>
          </w:p>
        </w:tc>
        <w:tc>
          <w:tcPr>
            <w:tcW w:type="dxa" w:w="3120"/>
          </w:tcPr>
          <w:p>
            <w:r>
              <w:rPr>
                <w:sz w:val="18"/>
              </w:rPr>
            </w:r>
            <w:r>
              <w:rPr>
                <w:sz w:val="18"/>
              </w:rPr>
              <w:t>75.5%</w:t>
            </w:r>
          </w:p>
        </w:tc>
      </w:tr>
      <w:tr>
        <w:tc>
          <w:tcPr>
            <w:tcW w:type="dxa" w:w="3120"/>
          </w:tcPr>
          <w:p>
            <w:r>
              <w:rPr>
                <w:sz w:val="18"/>
              </w:rPr>
            </w:r>
            <w:r>
              <w:rPr>
                <w:sz w:val="18"/>
              </w:rPr>
              <w:t>Reproducible under InChIKey</w:t>
            </w:r>
          </w:p>
        </w:tc>
        <w:tc>
          <w:tcPr>
            <w:tcW w:type="dxa" w:w="3120"/>
          </w:tcPr>
          <w:p>
            <w:r>
              <w:rPr>
                <w:sz w:val="18"/>
              </w:rPr>
            </w:r>
            <w:r>
              <w:rPr>
                <w:sz w:val="18"/>
              </w:rPr>
              <w:t>57.7%</w:t>
            </w:r>
          </w:p>
        </w:tc>
        <w:tc>
          <w:tcPr>
            <w:tcW w:type="dxa" w:w="3120"/>
          </w:tcPr>
          <w:p>
            <w:r>
              <w:rPr>
                <w:sz w:val="18"/>
              </w:rPr>
            </w:r>
            <w:r>
              <w:rPr>
                <w:sz w:val="18"/>
              </w:rPr>
              <w:t>80.1%</w:t>
            </w:r>
          </w:p>
        </w:tc>
      </w:tr>
      <w:tr>
        <w:tc>
          <w:tcPr>
            <w:tcW w:type="dxa" w:w="3120"/>
          </w:tcPr>
          <w:p>
            <w:r>
              <w:rPr>
                <w:sz w:val="18"/>
              </w:rPr>
            </w:r>
            <w:r>
              <w:rPr>
                <w:sz w:val="18"/>
              </w:rPr>
              <w:t>Divergent molecules</w:t>
            </w:r>
          </w:p>
        </w:tc>
        <w:tc>
          <w:tcPr>
            <w:tcW w:type="dxa" w:w="3120"/>
          </w:tcPr>
          <w:p>
            <w:r>
              <w:rPr>
                <w:sz w:val="18"/>
              </w:rPr>
            </w:r>
            <w:r>
              <w:rPr>
                <w:sz w:val="18"/>
              </w:rPr>
              <w:t>2280 (45.9%)</w:t>
            </w:r>
          </w:p>
        </w:tc>
        <w:tc>
          <w:tcPr>
            <w:tcW w:type="dxa" w:w="3120"/>
          </w:tcPr>
          <w:p>
            <w:r>
              <w:rPr>
                <w:sz w:val="18"/>
              </w:rPr>
            </w:r>
            <w:r>
              <w:rPr>
                <w:sz w:val="18"/>
              </w:rPr>
              <w:t>1218 (24.5%)</w:t>
            </w:r>
          </w:p>
        </w:tc>
      </w:tr>
      <w:tr>
        <w:tc>
          <w:tcPr>
            <w:tcW w:type="dxa" w:w="3120"/>
          </w:tcPr>
          <w:p>
            <w:r>
              <w:rPr>
                <w:sz w:val="18"/>
              </w:rPr>
            </w:r>
            <w:r>
              <w:rPr>
                <w:sz w:val="18"/>
              </w:rPr>
              <w:t>Leading cause</w:t>
            </w:r>
          </w:p>
        </w:tc>
        <w:tc>
          <w:tcPr>
            <w:tcW w:type="dxa" w:w="3120"/>
          </w:tcPr>
          <w:p>
            <w:r>
              <w:rPr>
                <w:sz w:val="18"/>
              </w:rPr>
            </w:r>
            <w:r>
              <w:rPr>
                <w:sz w:val="18"/>
              </w:rPr>
              <w:t>stereochemistry, 66.6%</w:t>
            </w:r>
          </w:p>
        </w:tc>
        <w:tc>
          <w:tcPr>
            <w:tcW w:type="dxa" w:w="3120"/>
          </w:tcPr>
          <w:p>
            <w:r>
              <w:rPr>
                <w:sz w:val="18"/>
              </w:rPr>
            </w:r>
            <w:r>
              <w:rPr>
                <w:sz w:val="18"/>
              </w:rPr>
              <w:t>tautomer, 87.4%</w:t>
            </w:r>
          </w:p>
        </w:tc>
      </w:tr>
    </w:tbl>
    <w:p/>
    <w:p>
      <w:r>
        <w:t>One operation toggle moves headline reproducibility by more than twenty percentage points. This is the quantitative form of the §3.4 argument: a reproducibility figure is uninterpretable without the protocol set that produced it, and small differences in protocol specification produce large differences in the reported result.</w:t>
      </w:r>
    </w:p>
    <w:p>
      <w:r>
        <w:t>Two internal checks support the comparison. The absolute counts for the operations unrelated to stereochemistry are unchanged (fragment selection 192, charge neutralization 26, isotope removal 6, normalization 2 in both runs); their fractions rise only because the divergent denominator shrinks, as expected when an unrelated operation is removed. And the unattributed count falls to zero, indicating that all 278 jointly-caused molecules in the full comparison involved stereochemistry interacting with another operation.</w:t>
      </w:r>
    </w:p>
    <w:p>
      <w:r>
        <w:t>With stereochemistry held constant, tautomer canonicalization accounts for 87.4% of the remaining divergence — consistent in direction with PubChem's attribution of its own pipeline/InChI disagreement primarily to tautomeric form [3], obtained here by an independent route and with per-operation resolution.</w:t>
      </w:r>
    </w:p>
    <w:p>
      <w:pPr>
        <w:pStyle w:val="Heading2"/>
      </w:pPr>
      <w:r>
        <w:t>3.6 Comparison with a hand-assembled benchmark</w:t>
      </w:r>
    </w:p>
    <w:p>
      <w:r>
        <w:t>An earlier 40-molecule set, assembled deliberately to span structural classes hypothesized to be labile (salts, charged species, tautomer-ambiguous heterocycles, isotopes, stereocentres), produced a substantially different cause spectrum under the identical method: charge neutralization 41.7%, parent-fragment selection 33.3%, isotope removal and tautomer canonicalization 16.7% each. On the ChEMBL sample, charge neutralization falls to 1.1% and fragment selection to 8.4%, while stereochemistry removal — absent from the hand-assembled set's top causes — dominates at 66.6%.</w:t>
      </w:r>
    </w:p>
    <w:p>
      <w:r>
        <w:t>The hand-assembled set reproduced the composition of its own construction rather than that of the underlying population. This is not a defect of the method, which was identical in both cases, but a demonstration that a standardization audit is only meaningful on the dataset actually in use. Generic benchmarks cannot substitute for auditing one's own data — which is the central practical argument for making such an audit cheap enough to run routinely.</w:t>
      </w:r>
    </w:p>
    <w:p>
      <w:pPr>
        <w:pStyle w:val="Heading2"/>
      </w:pPr>
      <w:r>
        <w:t>3.7 Downstream consequences: what divergence costs</w:t>
      </w:r>
    </w:p>
    <w:p>
      <w:r>
        <w:t>Sections 3.2–3.6 establish that protocols disagree and why. They do not establish that the disagreement matters. To test that, we applied the same three protocols to real bioactivity data and measured what a modeller would actually experience.</w:t>
      </w:r>
    </w:p>
    <w:p>
      <w:r>
        <w:t>The experiment applies the three protocols to 27,152 IC50 measurements across four targets and measures dataset composition, label integrity and model performance; the design, including why the obvious size control is invalid, is given in §2.6.</w:t>
      </w:r>
    </w:p>
    <w:p>
      <w:r>
        <w:rPr>
          <w:b/>
        </w:rPr>
        <w:t>Merging is substantial and destroys real differences.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Target</w:t>
            </w:r>
          </w:p>
        </w:tc>
        <w:tc>
          <w:tcPr>
            <w:tcW w:type="dxa" w:w="1560"/>
          </w:tcPr>
          <w:p>
            <w:r>
              <w:rPr>
                <w:b/>
                <w:sz w:val="18"/>
              </w:rPr>
            </w:r>
            <w:r>
              <w:rPr>
                <w:b/>
                <w:sz w:val="18"/>
              </w:rPr>
              <w:t>Compounds</w:t>
            </w:r>
          </w:p>
        </w:tc>
        <w:tc>
          <w:tcPr>
            <w:tcW w:type="dxa" w:w="1560"/>
          </w:tcPr>
          <w:p>
            <w:r>
              <w:rPr>
                <w:b/>
                <w:sz w:val="18"/>
              </w:rPr>
            </w:r>
            <w:r>
              <w:rPr>
                <w:b/>
                <w:sz w:val="18"/>
              </w:rPr>
              <w:t>ChEMBL-like merges / discordant</w:t>
            </w:r>
          </w:p>
        </w:tc>
        <w:tc>
          <w:tcPr>
            <w:tcW w:type="dxa" w:w="1560"/>
          </w:tcPr>
          <w:p>
            <w:r>
              <w:rPr>
                <w:b/>
                <w:sz w:val="18"/>
              </w:rPr>
            </w:r>
            <w:r>
              <w:rPr>
                <w:b/>
                <w:sz w:val="18"/>
              </w:rPr>
              <w:t>Aggressive merges / discordant</w:t>
            </w:r>
          </w:p>
        </w:tc>
        <w:tc>
          <w:tcPr>
            <w:tcW w:type="dxa" w:w="1560"/>
          </w:tcPr>
          <w:p>
            <w:r>
              <w:rPr>
                <w:b/>
                <w:sz w:val="18"/>
              </w:rPr>
            </w:r>
            <w:r>
              <w:rPr>
                <w:b/>
                <w:sz w:val="18"/>
              </w:rPr>
              <w:t>Compounds lost</w:t>
            </w:r>
          </w:p>
        </w:tc>
        <w:tc>
          <w:tcPr>
            <w:tcW w:type="dxa" w:w="1560"/>
          </w:tcPr>
          <w:p>
            <w:r>
              <w:rPr>
                <w:b/>
                <w:sz w:val="18"/>
              </w:rPr>
            </w:r>
            <w:r>
              <w:rPr>
                <w:b/>
                <w:sz w:val="18"/>
              </w:rPr>
              <w:t>Widest merge</w:t>
            </w:r>
          </w:p>
        </w:tc>
      </w:tr>
      <w:tr>
        <w:tc>
          <w:tcPr>
            <w:tcW w:type="dxa" w:w="1560"/>
          </w:tcPr>
          <w:p>
            <w:r>
              <w:rPr>
                <w:sz w:val="18"/>
              </w:rPr>
            </w:r>
            <w:r>
              <w:rPr>
                <w:sz w:val="18"/>
              </w:rPr>
              <w:t>μ-opioid</w:t>
            </w:r>
          </w:p>
        </w:tc>
        <w:tc>
          <w:tcPr>
            <w:tcW w:type="dxa" w:w="1560"/>
          </w:tcPr>
          <w:p>
            <w:r>
              <w:rPr>
                <w:sz w:val="18"/>
              </w:rPr>
            </w:r>
            <w:r>
              <w:rPr>
                <w:sz w:val="18"/>
              </w:rPr>
              <w:t>1262</w:t>
            </w:r>
          </w:p>
        </w:tc>
        <w:tc>
          <w:tcPr>
            <w:tcW w:type="dxa" w:w="1560"/>
          </w:tcPr>
          <w:p>
            <w:r>
              <w:rPr>
                <w:sz w:val="18"/>
              </w:rPr>
            </w:r>
            <w:r>
              <w:rPr>
                <w:sz w:val="18"/>
              </w:rPr>
              <w:t>7 / 0</w:t>
            </w:r>
          </w:p>
        </w:tc>
        <w:tc>
          <w:tcPr>
            <w:tcW w:type="dxa" w:w="1560"/>
          </w:tcPr>
          <w:p>
            <w:r>
              <w:rPr>
                <w:sz w:val="18"/>
              </w:rPr>
            </w:r>
            <w:r>
              <w:rPr>
                <w:sz w:val="18"/>
              </w:rPr>
              <w:t>98 / 20</w:t>
            </w:r>
          </w:p>
        </w:tc>
        <w:tc>
          <w:tcPr>
            <w:tcW w:type="dxa" w:w="1560"/>
          </w:tcPr>
          <w:p>
            <w:r>
              <w:rPr>
                <w:sz w:val="18"/>
              </w:rPr>
            </w:r>
            <w:r>
              <w:rPr>
                <w:sz w:val="18"/>
              </w:rPr>
              <w:t>9.5%</w:t>
            </w:r>
          </w:p>
        </w:tc>
        <w:tc>
          <w:tcPr>
            <w:tcW w:type="dxa" w:w="1560"/>
          </w:tcPr>
          <w:p>
            <w:r>
              <w:rPr>
                <w:sz w:val="18"/>
              </w:rPr>
            </w:r>
            <w:r>
              <w:rPr>
                <w:sz w:val="18"/>
              </w:rPr>
              <w:t>2.64 log</w:t>
            </w:r>
          </w:p>
        </w:tc>
      </w:tr>
      <w:tr>
        <w:tc>
          <w:tcPr>
            <w:tcW w:type="dxa" w:w="1560"/>
          </w:tcPr>
          <w:p>
            <w:r>
              <w:rPr>
                <w:sz w:val="18"/>
              </w:rPr>
            </w:r>
            <w:r>
              <w:rPr>
                <w:sz w:val="18"/>
              </w:rPr>
              <w:t>EGFR</w:t>
            </w:r>
          </w:p>
        </w:tc>
        <w:tc>
          <w:tcPr>
            <w:tcW w:type="dxa" w:w="1560"/>
          </w:tcPr>
          <w:p>
            <w:r>
              <w:rPr>
                <w:sz w:val="18"/>
              </w:rPr>
            </w:r>
            <w:r>
              <w:rPr>
                <w:sz w:val="18"/>
              </w:rPr>
              <w:t>5558</w:t>
            </w:r>
          </w:p>
        </w:tc>
        <w:tc>
          <w:tcPr>
            <w:tcW w:type="dxa" w:w="1560"/>
          </w:tcPr>
          <w:p>
            <w:r>
              <w:rPr>
                <w:sz w:val="18"/>
              </w:rPr>
            </w:r>
            <w:r>
              <w:rPr>
                <w:sz w:val="18"/>
              </w:rPr>
              <w:t>41 / 2</w:t>
            </w:r>
          </w:p>
        </w:tc>
        <w:tc>
          <w:tcPr>
            <w:tcW w:type="dxa" w:w="1560"/>
          </w:tcPr>
          <w:p>
            <w:r>
              <w:rPr>
                <w:sz w:val="18"/>
              </w:rPr>
            </w:r>
            <w:r>
              <w:rPr>
                <w:sz w:val="18"/>
              </w:rPr>
              <w:t>131 / 17</w:t>
            </w:r>
          </w:p>
        </w:tc>
        <w:tc>
          <w:tcPr>
            <w:tcW w:type="dxa" w:w="1560"/>
          </w:tcPr>
          <w:p>
            <w:r>
              <w:rPr>
                <w:sz w:val="18"/>
              </w:rPr>
            </w:r>
            <w:r>
              <w:rPr>
                <w:sz w:val="18"/>
              </w:rPr>
              <w:t>2.6%</w:t>
            </w:r>
          </w:p>
        </w:tc>
        <w:tc>
          <w:tcPr>
            <w:tcW w:type="dxa" w:w="1560"/>
          </w:tcPr>
          <w:p>
            <w:r>
              <w:rPr>
                <w:sz w:val="18"/>
              </w:rPr>
            </w:r>
            <w:r>
              <w:rPr>
                <w:sz w:val="18"/>
              </w:rPr>
              <w:t>2.93 log</w:t>
            </w:r>
          </w:p>
        </w:tc>
      </w:tr>
      <w:tr>
        <w:tc>
          <w:tcPr>
            <w:tcW w:type="dxa" w:w="1560"/>
          </w:tcPr>
          <w:p>
            <w:r>
              <w:rPr>
                <w:sz w:val="18"/>
              </w:rPr>
            </w:r>
            <w:r>
              <w:rPr>
                <w:sz w:val="18"/>
              </w:rPr>
              <w:t>hERG</w:t>
            </w:r>
          </w:p>
        </w:tc>
        <w:tc>
          <w:tcPr>
            <w:tcW w:type="dxa" w:w="1560"/>
          </w:tcPr>
          <w:p>
            <w:r>
              <w:rPr>
                <w:sz w:val="18"/>
              </w:rPr>
            </w:r>
            <w:r>
              <w:rPr>
                <w:sz w:val="18"/>
              </w:rPr>
              <w:t>6401</w:t>
            </w:r>
          </w:p>
        </w:tc>
        <w:tc>
          <w:tcPr>
            <w:tcW w:type="dxa" w:w="1560"/>
          </w:tcPr>
          <w:p>
            <w:r>
              <w:rPr>
                <w:sz w:val="18"/>
              </w:rPr>
            </w:r>
            <w:r>
              <w:rPr>
                <w:sz w:val="18"/>
              </w:rPr>
              <w:t>25 / 2</w:t>
            </w:r>
          </w:p>
        </w:tc>
        <w:tc>
          <w:tcPr>
            <w:tcW w:type="dxa" w:w="1560"/>
          </w:tcPr>
          <w:p>
            <w:r>
              <w:rPr>
                <w:sz w:val="18"/>
              </w:rPr>
            </w:r>
            <w:r>
              <w:rPr>
                <w:sz w:val="18"/>
              </w:rPr>
              <w:t>217 / 16</w:t>
            </w:r>
          </w:p>
        </w:tc>
        <w:tc>
          <w:tcPr>
            <w:tcW w:type="dxa" w:w="1560"/>
          </w:tcPr>
          <w:p>
            <w:r>
              <w:rPr>
                <w:sz w:val="18"/>
              </w:rPr>
            </w:r>
            <w:r>
              <w:rPr>
                <w:sz w:val="18"/>
              </w:rPr>
              <w:t>4.1%</w:t>
            </w:r>
          </w:p>
        </w:tc>
        <w:tc>
          <w:tcPr>
            <w:tcW w:type="dxa" w:w="1560"/>
          </w:tcPr>
          <w:p>
            <w:r>
              <w:rPr>
                <w:sz w:val="18"/>
              </w:rPr>
            </w:r>
            <w:r>
              <w:rPr>
                <w:sz w:val="18"/>
              </w:rPr>
              <w:t>3.00 log</w:t>
            </w:r>
          </w:p>
        </w:tc>
      </w:tr>
      <w:tr>
        <w:tc>
          <w:tcPr>
            <w:tcW w:type="dxa" w:w="1560"/>
          </w:tcPr>
          <w:p>
            <w:r>
              <w:rPr>
                <w:sz w:val="18"/>
              </w:rPr>
            </w:r>
            <w:r>
              <w:rPr>
                <w:sz w:val="18"/>
              </w:rPr>
              <w:t>VEGFR2</w:t>
            </w:r>
          </w:p>
        </w:tc>
        <w:tc>
          <w:tcPr>
            <w:tcW w:type="dxa" w:w="1560"/>
          </w:tcPr>
          <w:p>
            <w:r>
              <w:rPr>
                <w:sz w:val="18"/>
              </w:rPr>
            </w:r>
            <w:r>
              <w:rPr>
                <w:sz w:val="18"/>
              </w:rPr>
              <w:t>7056</w:t>
            </w:r>
          </w:p>
        </w:tc>
        <w:tc>
          <w:tcPr>
            <w:tcW w:type="dxa" w:w="1560"/>
          </w:tcPr>
          <w:p>
            <w:r>
              <w:rPr>
                <w:sz w:val="18"/>
              </w:rPr>
            </w:r>
            <w:r>
              <w:rPr>
                <w:sz w:val="18"/>
              </w:rPr>
              <w:t>54 / 2</w:t>
            </w:r>
          </w:p>
        </w:tc>
        <w:tc>
          <w:tcPr>
            <w:tcW w:type="dxa" w:w="1560"/>
          </w:tcPr>
          <w:p>
            <w:r>
              <w:rPr>
                <w:sz w:val="18"/>
              </w:rPr>
            </w:r>
            <w:r>
              <w:rPr>
                <w:sz w:val="18"/>
              </w:rPr>
              <w:t>137 / 7</w:t>
            </w:r>
          </w:p>
        </w:tc>
        <w:tc>
          <w:tcPr>
            <w:tcW w:type="dxa" w:w="1560"/>
          </w:tcPr>
          <w:p>
            <w:r>
              <w:rPr>
                <w:sz w:val="18"/>
              </w:rPr>
            </w:r>
            <w:r>
              <w:rPr>
                <w:sz w:val="18"/>
              </w:rPr>
              <w:t>2.4%</w:t>
            </w:r>
          </w:p>
        </w:tc>
        <w:tc>
          <w:tcPr>
            <w:tcW w:type="dxa" w:w="1560"/>
          </w:tcPr>
          <w:p>
            <w:r>
              <w:rPr>
                <w:sz w:val="18"/>
              </w:rPr>
            </w:r>
            <w:r>
              <w:rPr>
                <w:sz w:val="18"/>
              </w:rPr>
              <w:t>1.60 log</w:t>
            </w:r>
          </w:p>
        </w:tc>
      </w:tr>
    </w:tbl>
    <w:p/>
    <w:p>
      <w:r>
        <w:t>The direction is consistent across all four targets: the Aggressive protocol merges between 2.5 and 14 times as many groups as ChEMBL-like, and always produces more discordant merges. On hERG two separate merges each fused compounds differing by exactly 3.00 log units — a thousandfold difference in cardiotoxic liability collapsed into a single training label on a safety endpoint.</w:t>
      </w:r>
    </w:p>
    <w:p>
      <w:r>
        <w:t xml:space="preserve">Two features of this table are worth separating. First, the μ-opioid dataset loses 9.5% of its compounds, roughly four times the proportion lost by either kinase set. This is the predicted consequence of enantioselective pharmacology: a compound collection rich in stereoisomer pairs with genuinely different activity is exactly the collection that stereochemistry-stripping collapses. Second, VEGFR2 is comparatively mild (7 discordant merges, widest merge 1.60 log). The harm is therefore </w:t>
      </w:r>
      <w:r>
        <w:rPr>
          <w:b/>
        </w:rPr>
        <w:t>target-dependent and predictable from the pharmacology</w:t>
      </w:r>
      <w:r>
        <w:t>, not a uniform penalty — which is the argument for auditing a specific dataset rather than applying a general rule.</w:t>
      </w:r>
    </w:p>
    <w:p>
      <w:r>
        <w:rPr>
          <w:b/>
        </w:rPr>
        <w:t>Aggregate model performance is unaffected.</w:t>
      </w:r>
      <w:r>
        <w:t xml:space="preserve"> Random-forest regression on chirality-aware Morgan fingerprints, evaluated by repeated five-fold cross-validation over three seeds and compared at matched dataset size, shows no protocol effect: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Target</w:t>
            </w:r>
          </w:p>
        </w:tc>
        <w:tc>
          <w:tcPr>
            <w:tcW w:type="dxa" w:w="2340"/>
          </w:tcPr>
          <w:p>
            <w:r>
              <w:rPr>
                <w:b/>
                <w:sz w:val="18"/>
              </w:rPr>
            </w:r>
            <w:r>
              <w:rPr>
                <w:b/>
                <w:sz w:val="18"/>
              </w:rPr>
              <w:t>Minimal</w:t>
            </w:r>
          </w:p>
        </w:tc>
        <w:tc>
          <w:tcPr>
            <w:tcW w:type="dxa" w:w="2340"/>
          </w:tcPr>
          <w:p>
            <w:r>
              <w:rPr>
                <w:b/>
                <w:sz w:val="18"/>
              </w:rPr>
            </w:r>
            <w:r>
              <w:rPr>
                <w:b/>
                <w:sz w:val="18"/>
              </w:rPr>
              <w:t>ChEMBL-like</w:t>
            </w:r>
          </w:p>
        </w:tc>
        <w:tc>
          <w:tcPr>
            <w:tcW w:type="dxa" w:w="2340"/>
          </w:tcPr>
          <w:p>
            <w:r>
              <w:rPr>
                <w:b/>
                <w:sz w:val="18"/>
              </w:rPr>
            </w:r>
            <w:r>
              <w:rPr>
                <w:b/>
                <w:sz w:val="18"/>
              </w:rPr>
              <w:t>Aggressive</w:t>
            </w:r>
          </w:p>
        </w:tc>
      </w:tr>
      <w:tr>
        <w:tc>
          <w:tcPr>
            <w:tcW w:type="dxa" w:w="2340"/>
          </w:tcPr>
          <w:p>
            <w:r>
              <w:rPr>
                <w:sz w:val="18"/>
              </w:rPr>
            </w:r>
            <w:r>
              <w:rPr>
                <w:sz w:val="18"/>
              </w:rPr>
              <w:t>μ-opioid</w:t>
            </w:r>
          </w:p>
        </w:tc>
        <w:tc>
          <w:tcPr>
            <w:tcW w:type="dxa" w:w="2340"/>
          </w:tcPr>
          <w:p>
            <w:r>
              <w:rPr>
                <w:sz w:val="18"/>
              </w:rPr>
            </w:r>
            <w:r>
              <w:rPr>
                <w:sz w:val="18"/>
              </w:rPr>
              <w:t>0.753 ± 0.037</w:t>
            </w:r>
          </w:p>
        </w:tc>
        <w:tc>
          <w:tcPr>
            <w:tcW w:type="dxa" w:w="2340"/>
          </w:tcPr>
          <w:p>
            <w:r>
              <w:rPr>
                <w:sz w:val="18"/>
              </w:rPr>
            </w:r>
            <w:r>
              <w:rPr>
                <w:sz w:val="18"/>
              </w:rPr>
              <w:t>0.753 ± 0.049</w:t>
            </w:r>
          </w:p>
        </w:tc>
        <w:tc>
          <w:tcPr>
            <w:tcW w:type="dxa" w:w="2340"/>
          </w:tcPr>
          <w:p>
            <w:r>
              <w:rPr>
                <w:sz w:val="18"/>
              </w:rPr>
            </w:r>
            <w:r>
              <w:rPr>
                <w:sz w:val="18"/>
              </w:rPr>
              <w:t>0.742 ± 0.061</w:t>
            </w:r>
          </w:p>
        </w:tc>
      </w:tr>
      <w:tr>
        <w:tc>
          <w:tcPr>
            <w:tcW w:type="dxa" w:w="2340"/>
          </w:tcPr>
          <w:p>
            <w:r>
              <w:rPr>
                <w:sz w:val="18"/>
              </w:rPr>
            </w:r>
            <w:r>
              <w:rPr>
                <w:sz w:val="18"/>
              </w:rPr>
              <w:t>EGFR</w:t>
            </w:r>
          </w:p>
        </w:tc>
        <w:tc>
          <w:tcPr>
            <w:tcW w:type="dxa" w:w="2340"/>
          </w:tcPr>
          <w:p>
            <w:r>
              <w:rPr>
                <w:sz w:val="18"/>
              </w:rPr>
            </w:r>
            <w:r>
              <w:rPr>
                <w:sz w:val="18"/>
              </w:rPr>
              <w:t>0.729 ± 0.018</w:t>
            </w:r>
          </w:p>
        </w:tc>
        <w:tc>
          <w:tcPr>
            <w:tcW w:type="dxa" w:w="2340"/>
          </w:tcPr>
          <w:p>
            <w:r>
              <w:rPr>
                <w:sz w:val="18"/>
              </w:rPr>
            </w:r>
            <w:r>
              <w:rPr>
                <w:sz w:val="18"/>
              </w:rPr>
              <w:t>0.719 ± 0.022</w:t>
            </w:r>
          </w:p>
        </w:tc>
        <w:tc>
          <w:tcPr>
            <w:tcW w:type="dxa" w:w="2340"/>
          </w:tcPr>
          <w:p>
            <w:r>
              <w:rPr>
                <w:sz w:val="18"/>
              </w:rPr>
            </w:r>
            <w:r>
              <w:rPr>
                <w:sz w:val="18"/>
              </w:rPr>
              <w:t>0.726 ± 0.028</w:t>
            </w:r>
          </w:p>
        </w:tc>
      </w:tr>
      <w:tr>
        <w:tc>
          <w:tcPr>
            <w:tcW w:type="dxa" w:w="2340"/>
          </w:tcPr>
          <w:p>
            <w:r>
              <w:rPr>
                <w:sz w:val="18"/>
              </w:rPr>
            </w:r>
            <w:r>
              <w:rPr>
                <w:sz w:val="18"/>
              </w:rPr>
              <w:t>hERG</w:t>
            </w:r>
          </w:p>
        </w:tc>
        <w:tc>
          <w:tcPr>
            <w:tcW w:type="dxa" w:w="2340"/>
          </w:tcPr>
          <w:p>
            <w:r>
              <w:rPr>
                <w:sz w:val="18"/>
              </w:rPr>
            </w:r>
            <w:r>
              <w:rPr>
                <w:sz w:val="18"/>
              </w:rPr>
              <w:t>0.627 ± 0.030</w:t>
            </w:r>
          </w:p>
        </w:tc>
        <w:tc>
          <w:tcPr>
            <w:tcW w:type="dxa" w:w="2340"/>
          </w:tcPr>
          <w:p>
            <w:r>
              <w:rPr>
                <w:sz w:val="18"/>
              </w:rPr>
            </w:r>
            <w:r>
              <w:rPr>
                <w:sz w:val="18"/>
              </w:rPr>
              <w:t>0.631 ± 0.023</w:t>
            </w:r>
          </w:p>
        </w:tc>
        <w:tc>
          <w:tcPr>
            <w:tcW w:type="dxa" w:w="2340"/>
          </w:tcPr>
          <w:p>
            <w:r>
              <w:rPr>
                <w:sz w:val="18"/>
              </w:rPr>
            </w:r>
            <w:r>
              <w:rPr>
                <w:sz w:val="18"/>
              </w:rPr>
              <w:t>0.631 ± 0.021</w:t>
            </w:r>
          </w:p>
        </w:tc>
      </w:tr>
      <w:tr>
        <w:tc>
          <w:tcPr>
            <w:tcW w:type="dxa" w:w="2340"/>
          </w:tcPr>
          <w:p>
            <w:r>
              <w:rPr>
                <w:sz w:val="18"/>
              </w:rPr>
            </w:r>
            <w:r>
              <w:rPr>
                <w:sz w:val="18"/>
              </w:rPr>
              <w:t>VEGFR2</w:t>
            </w:r>
          </w:p>
        </w:tc>
        <w:tc>
          <w:tcPr>
            <w:tcW w:type="dxa" w:w="2340"/>
          </w:tcPr>
          <w:p>
            <w:r>
              <w:rPr>
                <w:sz w:val="18"/>
              </w:rPr>
            </w:r>
            <w:r>
              <w:rPr>
                <w:sz w:val="18"/>
              </w:rPr>
              <w:t>0.643 ± 0.017</w:t>
            </w:r>
          </w:p>
        </w:tc>
        <w:tc>
          <w:tcPr>
            <w:tcW w:type="dxa" w:w="2340"/>
          </w:tcPr>
          <w:p>
            <w:r>
              <w:rPr>
                <w:sz w:val="18"/>
              </w:rPr>
            </w:r>
            <w:r>
              <w:rPr>
                <w:sz w:val="18"/>
              </w:rPr>
              <w:t>0.643 ± 0.017</w:t>
            </w:r>
          </w:p>
        </w:tc>
        <w:tc>
          <w:tcPr>
            <w:tcW w:type="dxa" w:w="2340"/>
          </w:tcPr>
          <w:p>
            <w:r>
              <w:rPr>
                <w:sz w:val="18"/>
              </w:rPr>
            </w:r>
            <w:r>
              <w:rPr>
                <w:sz w:val="18"/>
              </w:rPr>
              <w:t>0.651 ± 0.015</w:t>
            </w:r>
          </w:p>
        </w:tc>
      </w:tr>
    </w:tbl>
    <w:p/>
    <w:p>
      <w:r>
        <w:t>(RMSE in pIC50 units, mean ± SD across cross-validation folds; Figure 4.)</w:t>
      </w:r>
    </w:p>
    <w:p>
      <w:r>
        <w:t xml:space="preserve">Every between-protocol difference is smaller than the fold-to-fold variation within a single protocol, on all four targets. Even on the μ-opioid set, where 1.75% of final training labels are corrupted — five times the rate of any other target — the Aggressive protocol's RMSE is nominally </w:t>
      </w:r>
      <w:r>
        <w:rPr>
          <w:i/>
        </w:rPr>
        <w:t>lower</w:t>
      </w:r>
      <w:r>
        <w:t xml:space="preserve"> than Minimal's.</w:t>
      </w:r>
    </w:p>
    <w:p>
      <w:r>
        <w:t xml:space="preserve">We also tested whether corruption inflates the </w:t>
      </w:r>
      <w:r>
        <w:rPr>
          <w:i/>
        </w:rPr>
        <w:t>variance</w:t>
      </w:r>
      <w:r>
        <w:t xml:space="preserve"> of model performance rather than its mean. The standard deviation rose with merge count on two targets (EGFR 0.018→0.028, μ-opioid 0.037→0.061) but fell on the other two (hERG 0.030→0.021, VEGFR2 0.017→0.015). With no consistent direction across targets, this is what sampling noise in a standard deviation estimated from fifteen folds looks like, and we do not claim a variance effect.</w:t>
      </w:r>
    </w:p>
    <w:p>
      <w:r>
        <w:rPr>
          <w:b/>
        </w:rPr>
        <w:t>Interpretation.</w:t>
      </w:r>
      <w:r>
        <w:t xml:space="preserve"> These two results are only surprising together. Protocol choice demonstrably corrupts training data — deleting up to 9.5% of a dataset and fabricating labels for compounds that differ thousandfold in potency — while leaving the aggregate metrics by which pipelines are usually validated entirely unmoved. The practical consequence is a negative one, and it is the most directly actionable finding in this work:</w:t>
      </w:r>
    </w:p>
    <w:p>
      <w:pPr>
        <w:pStyle w:val="IntenseQuote"/>
      </w:pPr>
      <w:r>
        <w:t>Observing that a model's cross-validated performance did not change is</w:t>
      </w:r>
    </w:p>
    <w:p>
      <w:pPr>
        <w:pStyle w:val="IntenseQuote"/>
      </w:pPr>
      <w:r>
        <w:rPr>
          <w:b/>
        </w:rPr>
        <w:t>not</w:t>
      </w:r>
      <w:r>
        <w:t xml:space="preserve"> evidence that a standardization change was safe.</w:t>
      </w:r>
    </w:p>
    <w:p>
      <w:r>
        <w:t>The damage is concentrated in individual compounds rather than distributed across the dataset, so it surfaces where individual compounds matter — a specific prediction, an activity-cliff analysis, a series' SAR interpretation, a safety call on one molecule — and is invisible to a summary statistic computed over thousands. Detecting it requires inspecting the merges, which is what the audit reported here does.</w:t>
      </w:r>
    </w:p>
    <w:p/>
    <w:p>
      <w:pPr>
        <w:pStyle w:val="Heading1"/>
      </w:pPr>
      <w:r>
        <w:t>4. Discussion</w:t>
      </w:r>
    </w:p>
    <w:p>
      <w:pPr>
        <w:pStyle w:val="Heading2"/>
      </w:pPr>
      <w:r>
        <w:t>4.1 Practical implications</w:t>
      </w:r>
    </w:p>
    <w:p>
      <w:r>
        <w:t>Four findings bear directly on curation practice.</w:t>
      </w:r>
    </w:p>
    <w:p>
      <w:r>
        <w:t xml:space="preserve">First, and most consequentially, </w:t>
      </w:r>
      <w:r>
        <w:rPr>
          <w:b/>
        </w:rPr>
        <w:t>an unchanged evaluation metric does not license a standardization change.</w:t>
      </w:r>
      <w:r>
        <w:t xml:space="preserve"> The downstream experiment (§3.7) found protocol choice deleting up to 9.5% of a dataset and fusing thousandfold potency differences into single labels while cross-validated error moved less than fold-to-fold noise on all four targets. The usual way a practitioner validates a pipeline change — swap it in, check the model still scores the same — is therefore blind to precisely this class of error. Because the damage is concentrated in a small number of compounds rather than spread across the dataset, it survives averaging. Detecting it requires inspecting the merges, which is what an audit does and a summary statistic cannot.</w:t>
      </w:r>
    </w:p>
    <w:p>
      <w:r>
        <w:t xml:space="preserve">Second, </w:t>
      </w:r>
      <w:r>
        <w:rPr>
          <w:b/>
        </w:rPr>
        <w:t>identity convention must be reported.</w:t>
      </w:r>
      <w:r>
        <w:t xml:space="preserve"> A dataset that is 57.7% reproducible under InChIKey is 54.1% reproducible under canonical SMILES; "we deduplicated by InChIKey" and "we standardized structures identically" are different claims, and the gap is concentrated exactly where tautomer ambiguity is common.</w:t>
      </w:r>
    </w:p>
    <w:p>
      <w:r>
        <w:t xml:space="preserve">Third, </w:t>
      </w:r>
      <w:r>
        <w:rPr>
          <w:b/>
        </w:rPr>
        <w:t>protocol distance does not predict disagreement.</w:t>
      </w:r>
      <w:r>
        <w:t xml:space="preserve"> Two protocols differing by four operations agreed on 96.1% of molecules while two differing by three agreed on 60.0%. What matters is the interaction between the differing operations and the composition of the dataset, which cannot be known in advance and must be measured on the data at hand. The downstream results sharpen this into a chemical statement: the μ-opioid set, whose pharmacology is enantioselective, lost 9.5% of its compounds to merging and carried five times the corrupted-label rate of any other target, because a collection rich in stereoisomer pairs with genuinely different activity is exactly the collection that stereochemistry removal collapses. Which operations are dangerous is a property of the pharmacology at hand, and is predictable once stated.</w:t>
      </w:r>
    </w:p>
    <w:p>
      <w:r>
        <w:t xml:space="preserve">Fourth, </w:t>
      </w:r>
      <w:r>
        <w:rPr>
          <w:b/>
        </w:rPr>
        <w:t>the dominant divergence cause is not the one the literature emphasises.</w:t>
      </w:r>
      <w:r>
        <w:t xml:space="preserve"> Tautomer canonicalization is the most discussed standardization ambiguity [3, 4], and it is substantial here (22.1%), but stereochemistry handling accounts for three times as much divergence in this sample. That is a consequence of protocol contrast (§3.4) rather than a claim about chemistry — but it is precisely the kind of dataset-specific fact an audit surfaces and intuition does not.</w:t>
      </w:r>
    </w:p>
    <w:p>
      <w:pPr>
        <w:pStyle w:val="Heading2"/>
      </w:pPr>
      <w:r>
        <w:t>4.2 The pre-curation confound</w:t>
      </w:r>
    </w:p>
    <w:p>
      <w:r>
        <w:t>The sample is drawn from ChEMBL, whose structures have already passed ChEMBL's own curation pipeline [1]. The data is therefore pre-normalized with respect to exactly the class of operations under study: counter-ions largely stripped, charges largely resolved, valences already checked. Three consequences follow.</w:t>
      </w:r>
    </w:p>
    <w:p>
      <w:r>
        <w:t xml:space="preserve">The measured divergence is a </w:t>
      </w:r>
      <w:r>
        <w:rPr>
          <w:b/>
        </w:rPr>
        <w:t>lower bound</w:t>
      </w:r>
      <w:r>
        <w:t xml:space="preserve"> on what the same protocols would produce on raw vendor, patent or literature-extracted structures. The very low implication rates for charge neutralization (1.1%) and the low prevalence of multi-fragment structures (3.9%) are properties of curated data, not of chemistry — a raw supplier catalogue would contain far more salt forms. And the high Minimal/ChEMBL-like agreement (96.1%) is structurally favoured, because the ChEMBL-like protocol approximates the pipeline these structures already passed through; it should not be read as evidence that light and moderate standardization generally agree.</w:t>
      </w:r>
    </w:p>
    <w:p>
      <w:r>
        <w:t>The corresponding experiment — running the identical audit on an uncurated source and comparing — would isolate how much of the reproducibility gap curation actually closes. We identify this as the most valuable single follow-up and have not performed it here.</w:t>
      </w:r>
    </w:p>
    <w:p>
      <w:pPr>
        <w:pStyle w:val="Heading2"/>
      </w:pPr>
      <w:r>
        <w:t>4.3 Limitations</w:t>
      </w:r>
    </w:p>
    <w:p>
      <w:pPr>
        <w:pStyle w:val="ListNumber"/>
      </w:pPr>
      <w:r>
        <w:rPr>
          <w:b/>
        </w:rPr>
        <w:t>Sampling design.</w:t>
      </w:r>
      <w:r>
        <w:t xml:space="preserve"> Cluster sampling produced measurable within-block</w:t>
      </w:r>
    </w:p>
    <w:p>
      <w:r>
        <w:t>structural correlation (0.206 vs 0.112 mean Tanimoto, §3.1). The effective sample size is below the nominal 4,972 and the reported Wilson intervals, which assume independent sampling, are optimistic. They should be read as lower bounds on the true interval width. A design-effect correction or a simple random sample obtained from a full database dump would remove this.</w:t>
      </w:r>
    </w:p>
    <w:p>
      <w:pPr>
        <w:pStyle w:val="ListNumber"/>
      </w:pPr>
      <w:r>
        <w:rPr>
          <w:b/>
        </w:rPr>
        <w:t>Attribution scope.</w:t>
      </w:r>
      <w:r>
        <w:t xml:space="preserve"> Causes can only be attributed among the eight</w:t>
      </w:r>
    </w:p>
    <w:p>
      <w:r>
        <w:t>operations in the protocol model. Divergence arising from a different aromaticity perception model, a different tautomer scoring function, or a non-RDKit standardizer is invisible to the procedure.</w:t>
      </w:r>
    </w:p>
    <w:p>
      <w:pPr>
        <w:pStyle w:val="ListNumber"/>
      </w:pPr>
      <w:r>
        <w:rPr>
          <w:b/>
        </w:rPr>
        <w:t>Joint causes.</w:t>
      </w:r>
      <w:r>
        <w:t xml:space="preserve"> Single-operation ablation cannot attribute divergence</w:t>
      </w:r>
    </w:p>
    <w:p>
      <w:r>
        <w:t>determined jointly by two or more operations; 12.2% of divergent molecules were unattributed for this reason (§3.4). A combinatorial ablation would resolve these at exponential cost.</w:t>
      </w:r>
    </w:p>
    <w:p>
      <w:pPr>
        <w:pStyle w:val="ListNumber"/>
      </w:pPr>
      <w:r>
        <w:rPr>
          <w:b/>
        </w:rPr>
        <w:t>Single-toolkit study.</w:t>
      </w:r>
      <w:r>
        <w:t xml:space="preserve"> All three protocols are RDKit-based. Cross-toolkit</w:t>
      </w:r>
    </w:p>
    <w:p>
      <w:r>
        <w:t>divergence — plausibly where the largest real-world disagreement lives, as the PubChem/InChI comparison suggests [3] — is out of scope by construction.</w:t>
      </w:r>
    </w:p>
    <w:p>
      <w:pPr>
        <w:pStyle w:val="ListNumber"/>
      </w:pPr>
      <w:r>
        <w:rPr>
          <w:b/>
        </w:rPr>
        <w:t>Pre-curated source</w:t>
      </w:r>
      <w:r>
        <w:t xml:space="preserve"> (§4.2).</w:t>
      </w:r>
    </w:p>
    <w:p>
      <w:pPr>
        <w:pStyle w:val="ListNumber"/>
      </w:pPr>
      <w:r>
        <w:rPr>
          <w:b/>
        </w:rPr>
        <w:t>No external validation of attribution correctness.</w:t>
      </w:r>
      <w:r>
        <w:t xml:space="preserve"> The procedure has not</w:t>
      </w:r>
    </w:p>
    <w:p>
      <w:r>
        <w:t>been validated against ground truth. The curated tautomer database of Dhaked et al. [4], which provides experimentally annotated tautomeric tuples, is a natural substrate for measuring attribution precision and recall; this remains future work.</w:t>
      </w:r>
    </w:p>
    <w:p>
      <w:pPr>
        <w:pStyle w:val="ListNumber"/>
      </w:pPr>
      <w:r>
        <w:rPr>
          <w:b/>
        </w:rPr>
        <w:t>The downstream null is bounded by what it tested.</w:t>
      </w:r>
      <w:r>
        <w:t xml:space="preserve"> The absence of a</w:t>
      </w:r>
    </w:p>
    <w:p>
      <w:r>
        <w:t>detectable effect on model performance (§3.7) holds for one model family (random forest on circular fingerprints), one task type (single-target regression on pIC50) and one evaluation protocol (random-split cross-validation). Corrupted labels could plausibly matter more under a scaffold or time split, which stress generalisation rather than interpolation; in classification near a decision threshold; or for few-shot and active-learning regimes where individual labels carry far more weight. The claim is that aggregate random-split regression metrics do not detect this corruption — not that no analysis can.</w:t>
      </w:r>
    </w:p>
    <w:p>
      <w:pPr>
        <w:pStyle w:val="ListNumber"/>
      </w:pPr>
      <w:r>
        <w:rPr>
          <w:b/>
        </w:rPr>
        <w:t>Discordance threshold.</w:t>
      </w:r>
      <w:r>
        <w:t xml:space="preserve"> Labelling a merge "discordant" above one log unit</w:t>
      </w:r>
    </w:p>
    <w:p>
      <w:r>
        <w:t>is a convention. Counts at 0.5–2.0 log units are recorded alongside, but the headline figures use the single conventional cut.</w:t>
      </w:r>
    </w:p>
    <w:p>
      <w:pPr>
        <w:pStyle w:val="Heading2"/>
      </w:pPr>
      <w:r>
        <w:t>4.4 Future work</w:t>
      </w:r>
    </w:p>
    <w:p>
      <w:r>
        <w:t>The priorities, in order: extend the protocol model across toolkits so that cross-implementation divergence becomes measurable, since the PubChem/InChI comparison [3] suggests that is where the largest disagreement lies; run the identical audit on an uncurated structure source to quantify the pre-curation confound (§4.2); test whether the downstream null survives evaluation designs that stress generalisation, particularly scaffold and time splits, where a handful of corrupted labels in a held-out series could matter considerably more than they do under random splitting; validate attribution accuracy against the annotated tautomer database [4]; and replace cluster sampling with a simple random sample from a database dump to remove the design effect.</w:t>
      </w:r>
    </w:p>
    <w:p/>
    <w:p>
      <w:pPr>
        <w:pStyle w:val="Heading1"/>
      </w:pPr>
      <w:r>
        <w:t>5. Conclusion</w:t>
      </w:r>
    </w:p>
    <w:p>
      <w:r>
        <w:t>Standardization reproducibility is measurable, attributable and — on a random sample of an already-curated public database — substantially less than complete: three reasonable protocols agreed on 54.1% of molecules under canonical-SMILES identity and 57.7% under InChIKey identity. Ablation attributed two thirds of the divergence to stereochemistry handling and a further fifth to tautomer canonicalization, while showing that this ranking is a property of the protocols compared and the data audited rather than an intrinsic ordering — demonstrated directly by a hand-assembled benchmark that inverts it.</w:t>
      </w:r>
    </w:p>
    <w:p>
      <w:r>
        <w:t>Applied to bioactivity data, the same protocol choice removed up to 9.5% of a dataset by merging and fused thousandfold potency differences — including on a cardiac-safety endpoint — into single training labels, while leaving cross-validated model performance statistically unchanged on all four targets tested. Standardization choice is therefore capable of corrupting a dataset in ways the metrics ordinarily used to validate pipelines cannot see, which makes an explicit audit the only reliable way to detect it. We release the method and its implementation openly so that a reproducibility audit can become a routine, reportable step in dataset curation rather than an unexamined assumption.</w:t>
      </w:r>
    </w:p>
    <w:p/>
    <w:p>
      <w:pPr>
        <w:pStyle w:val="Heading1"/>
      </w:pPr>
      <w:r>
        <w:t>Figures</w:t>
      </w:r>
    </w:p>
    <w:p>
      <w:r>
        <w:rPr>
          <w:b/>
        </w:rPr>
        <w:t>Figure 1.</w:t>
      </w:r>
      <w:r>
        <w:t xml:space="preserve"> Pairwise protocol agreement under both identity conventions. Cells are annotated with their values so identity is never encoded by colour alone; the sequential single-hue ramp is perceptually uniform and remains legible in greyscale and under colour-vision deficiency.</w:t>
      </w:r>
    </w:p>
    <w:p>
      <w:pPr>
        <w:jc w:val="center"/>
      </w:pPr>
      <w:r>
        <w:drawing>
          <wp:inline xmlns:a="http://schemas.openxmlformats.org/drawingml/2006/main" xmlns:pic="http://schemas.openxmlformats.org/drawingml/2006/picture">
            <wp:extent cx="5669280" cy="2785237"/>
            <wp:docPr id="1" name="Picture 1"/>
            <wp:cNvGraphicFramePr>
              <a:graphicFrameLocks noChangeAspect="1"/>
            </wp:cNvGraphicFramePr>
            <a:graphic>
              <a:graphicData uri="http://schemas.openxmlformats.org/drawingml/2006/picture">
                <pic:pic>
                  <pic:nvPicPr>
                    <pic:cNvPr id="0" name="fig1_agreement_matrix.png"/>
                    <pic:cNvPicPr/>
                  </pic:nvPicPr>
                  <pic:blipFill>
                    <a:blip r:embed="rId9"/>
                    <a:stretch>
                      <a:fillRect/>
                    </a:stretch>
                  </pic:blipFill>
                  <pic:spPr>
                    <a:xfrm>
                      <a:off x="0" y="0"/>
                      <a:ext cx="5669280" cy="2785237"/>
                    </a:xfrm>
                    <a:prstGeom prst="rect"/>
                  </pic:spPr>
                </pic:pic>
              </a:graphicData>
            </a:graphic>
          </wp:inline>
        </w:drawing>
      </w:r>
    </w:p>
    <w:p>
      <w:r>
        <w:rPr>
          <w:b/>
        </w:rPr>
        <w:t>Figure 2.</w:t>
      </w:r>
      <w:r>
        <w:t xml:space="preserve"> Divergence cause spectrum with 95% Wilson intervals. Fractions are of the 2280 divergent molecules and do not sum to 1, since one molecule may implicate several operations.</w:t>
      </w:r>
    </w:p>
    <w:p>
      <w:pPr>
        <w:jc w:val="center"/>
      </w:pPr>
      <w:r>
        <w:drawing>
          <wp:inline xmlns:a="http://schemas.openxmlformats.org/drawingml/2006/main" xmlns:pic="http://schemas.openxmlformats.org/drawingml/2006/picture">
            <wp:extent cx="5669280" cy="3361622"/>
            <wp:docPr id="2" name="Picture 2"/>
            <wp:cNvGraphicFramePr>
              <a:graphicFrameLocks noChangeAspect="1"/>
            </wp:cNvGraphicFramePr>
            <a:graphic>
              <a:graphicData uri="http://schemas.openxmlformats.org/drawingml/2006/picture">
                <pic:pic>
                  <pic:nvPicPr>
                    <pic:cNvPr id="0" name="fig2_cause_spectrum.png"/>
                    <pic:cNvPicPr/>
                  </pic:nvPicPr>
                  <pic:blipFill>
                    <a:blip r:embed="rId10"/>
                    <a:stretch>
                      <a:fillRect/>
                    </a:stretch>
                  </pic:blipFill>
                  <pic:spPr>
                    <a:xfrm>
                      <a:off x="0" y="0"/>
                      <a:ext cx="5669280" cy="3361622"/>
                    </a:xfrm>
                    <a:prstGeom prst="rect"/>
                  </pic:spPr>
                </pic:pic>
              </a:graphicData>
            </a:graphic>
          </wp:inline>
        </w:drawing>
      </w:r>
    </w:p>
    <w:p>
      <w:r>
        <w:rPr>
          <w:b/>
        </w:rPr>
        <w:t>Figure 3.</w:t>
      </w:r>
      <w:r>
        <w:t xml:space="preserve"> Headline reproducibility under each identity convention, with 95% Wilson intervals.</w:t>
      </w:r>
    </w:p>
    <w:p>
      <w:pPr>
        <w:jc w:val="center"/>
      </w:pPr>
      <w:r>
        <w:drawing>
          <wp:inline xmlns:a="http://schemas.openxmlformats.org/drawingml/2006/main" xmlns:pic="http://schemas.openxmlformats.org/drawingml/2006/picture">
            <wp:extent cx="5669280" cy="2306032"/>
            <wp:docPr id="3" name="Picture 3"/>
            <wp:cNvGraphicFramePr>
              <a:graphicFrameLocks noChangeAspect="1"/>
            </wp:cNvGraphicFramePr>
            <a:graphic>
              <a:graphicData uri="http://schemas.openxmlformats.org/drawingml/2006/picture">
                <pic:pic>
                  <pic:nvPicPr>
                    <pic:cNvPr id="0" name="fig3_reproducibility.png"/>
                    <pic:cNvPicPr/>
                  </pic:nvPicPr>
                  <pic:blipFill>
                    <a:blip r:embed="rId11"/>
                    <a:stretch>
                      <a:fillRect/>
                    </a:stretch>
                  </pic:blipFill>
                  <pic:spPr>
                    <a:xfrm>
                      <a:off x="0" y="0"/>
                      <a:ext cx="5669280" cy="2306032"/>
                    </a:xfrm>
                    <a:prstGeom prst="rect"/>
                  </pic:spPr>
                </pic:pic>
              </a:graphicData>
            </a:graphic>
          </wp:inline>
        </w:drawing>
      </w:r>
    </w:p>
    <w:p>
      <w:r>
        <w:rPr>
          <w:b/>
        </w:rPr>
        <w:t>Figure 4.</w:t>
      </w:r>
      <w:r>
        <w:t xml:space="preserve"> Downstream consequences of protocol choice across four bioactivity datasets. Left: discordant merges — training labels fabricated by fusing compounds whose measured activities differ by more than one log unit — normalised per 1000 compounds. Right: cross-validated model error for the same data under each protocol, with fold-to-fold standard deviation. The two panels must be read together: the corruption on the left is real and, on the μ-opioid set, substantial, yet it leaves the performance on the right unchanged.</w:t>
      </w:r>
    </w:p>
    <w:p>
      <w:pPr>
        <w:jc w:val="center"/>
      </w:pPr>
      <w:r>
        <w:drawing>
          <wp:inline xmlns:a="http://schemas.openxmlformats.org/drawingml/2006/main" xmlns:pic="http://schemas.openxmlformats.org/drawingml/2006/picture">
            <wp:extent cx="5669280" cy="2235534"/>
            <wp:docPr id="4" name="Picture 4"/>
            <wp:cNvGraphicFramePr>
              <a:graphicFrameLocks noChangeAspect="1"/>
            </wp:cNvGraphicFramePr>
            <a:graphic>
              <a:graphicData uri="http://schemas.openxmlformats.org/drawingml/2006/picture">
                <pic:pic>
                  <pic:nvPicPr>
                    <pic:cNvPr id="0" name="fig4_downstream_impact.png"/>
                    <pic:cNvPicPr/>
                  </pic:nvPicPr>
                  <pic:blipFill>
                    <a:blip r:embed="rId12"/>
                    <a:stretch>
                      <a:fillRect/>
                    </a:stretch>
                  </pic:blipFill>
                  <pic:spPr>
                    <a:xfrm>
                      <a:off x="0" y="0"/>
                      <a:ext cx="5669280" cy="2235534"/>
                    </a:xfrm>
                    <a:prstGeom prst="rect"/>
                  </pic:spPr>
                </pic:pic>
              </a:graphicData>
            </a:graphic>
          </wp:inline>
        </w:drawing>
      </w:r>
    </w:p>
    <w:p/>
    <w:p>
      <w:pPr>
        <w:pStyle w:val="Heading1"/>
      </w:pPr>
      <w:r>
        <w:t>Data and code availability</w:t>
      </w:r>
    </w:p>
    <w:p>
      <w:r>
        <w:t>The implementation, unit tests, sampling script, analysis script and figure generation code are available in the WaweKit repository under the MIT license (</w:t>
      </w:r>
      <w:r>
        <w:rPr>
          <w:rFonts w:ascii="Consolas" w:hAnsi="Consolas"/>
          <w:color w:val="333333"/>
          <w:sz w:val="18"/>
        </w:rPr>
        <w:t>src/wawekit/services/reproducibility/</w:t>
      </w:r>
      <w:r>
        <w:t xml:space="preserve">, </w:t>
      </w:r>
      <w:r>
        <w:rPr>
          <w:rFonts w:ascii="Consolas" w:hAnsi="Consolas"/>
          <w:color w:val="333333"/>
          <w:sz w:val="18"/>
        </w:rPr>
        <w:t>learning/research-track-R5-benchmark/</w:t>
      </w:r>
      <w:r>
        <w:t xml:space="preserve">, </w:t>
      </w:r>
      <w:r>
        <w:rPr>
          <w:rFonts w:ascii="Consolas" w:hAnsi="Consolas"/>
          <w:color w:val="333333"/>
          <w:sz w:val="18"/>
        </w:rPr>
        <w:t>learning/research-track-R6-manuscript/</w:t>
      </w:r>
      <w:r>
        <w:t>). The drawn sample (</w:t>
      </w:r>
      <w:r>
        <w:rPr>
          <w:rFonts w:ascii="Consolas" w:hAnsi="Consolas"/>
          <w:color w:val="333333"/>
          <w:sz w:val="18"/>
        </w:rPr>
        <w:t>chembl_sample.smi</w:t>
      </w:r>
      <w:r>
        <w:t>), the sampling offsets and seed (</w:t>
      </w:r>
      <w:r>
        <w:rPr>
          <w:rFonts w:ascii="Consolas" w:hAnsi="Consolas"/>
          <w:color w:val="333333"/>
          <w:sz w:val="18"/>
        </w:rPr>
        <w:t>chembl_sample_offsets.json</w:t>
      </w:r>
      <w:r>
        <w:t>) and the complete audit output (</w:t>
      </w:r>
      <w:r>
        <w:rPr>
          <w:rFonts w:ascii="Consolas" w:hAnsi="Consolas"/>
          <w:color w:val="333333"/>
          <w:sz w:val="18"/>
        </w:rPr>
        <w:t>chembl_results.json</w:t>
      </w:r>
      <w:r>
        <w:t>) are included, so every reported figure is regenerable from a single command.</w:t>
      </w:r>
    </w:p>
    <w:p>
      <w:pPr>
        <w:pStyle w:val="Heading1"/>
      </w:pPr>
      <w:r>
        <w:t>Author contributions, funding, competing interests</w:t>
      </w:r>
    </w:p>
    <w:p>
      <w:r>
        <w:rPr>
          <w:i/>
        </w:rPr>
        <w:t>To be completed by the author(s) before submission.</w:t>
      </w:r>
    </w:p>
    <w:p/>
    <w:p>
      <w:pPr>
        <w:pStyle w:val="Heading1"/>
      </w:pPr>
      <w:r>
        <w:t>References</w:t>
      </w:r>
    </w:p>
    <w:p>
      <w:pPr>
        <w:pStyle w:val="ListNumber"/>
      </w:pPr>
      <w:r>
        <w:t>Bento AP, Hersey A, Félix E, Landrum G, Gaulton A, Atkinson F, Bellis LJ,</w:t>
      </w:r>
    </w:p>
    <w:p>
      <w:r>
        <w:t xml:space="preserve">De Veij M, Leach AR. An open source chemical structure curation pipeline using RDKit. </w:t>
      </w:r>
      <w:r>
        <w:rPr>
          <w:i/>
        </w:rPr>
        <w:t>J Cheminform.</w:t>
      </w:r>
      <w:r>
        <w:t xml:space="preserve"> 2020;12(1):51. doi:10.1186/s13321-020-00456-1</w:t>
      </w:r>
    </w:p>
    <w:p>
      <w:pPr>
        <w:pStyle w:val="ListNumber"/>
      </w:pPr>
      <w:r>
        <w:t>Heller SR, McNaught A, Pletnev I, Stein S, Tchekhovskoi D. InChI, the IUPAC</w:t>
      </w:r>
    </w:p>
    <w:p>
      <w:r>
        <w:t xml:space="preserve">International Chemical Identifier. </w:t>
      </w:r>
      <w:r>
        <w:rPr>
          <w:i/>
        </w:rPr>
        <w:t>J Cheminform.</w:t>
      </w:r>
      <w:r>
        <w:t xml:space="preserve"> 2015;7:23. doi:10.1186/s13321-015-0068-4</w:t>
      </w:r>
    </w:p>
    <w:p>
      <w:pPr>
        <w:pStyle w:val="ListNumber"/>
      </w:pPr>
      <w:r>
        <w:t>Hähnke VD, Kim S, Bolton EE. PubChem chemical structure standardization.</w:t>
      </w:r>
    </w:p>
    <w:p>
      <w:r>
        <w:rPr>
          <w:i/>
        </w:rPr>
        <w:t>J Cheminform.</w:t>
      </w:r>
      <w:r>
        <w:t xml:space="preserve"> 2018;10(1):36. doi:10.1186/s13321-018-0293-8</w:t>
      </w:r>
    </w:p>
    <w:p>
      <w:pPr>
        <w:pStyle w:val="ListNumber"/>
      </w:pPr>
      <w:r>
        <w:t>Dhaked DK, Guasch L, Nicklaus MC. Tautomer Database: A Comprehensive</w:t>
      </w:r>
    </w:p>
    <w:p>
      <w:r>
        <w:t xml:space="preserve">Resource for Tautomerism Analyses. </w:t>
      </w:r>
      <w:r>
        <w:rPr>
          <w:i/>
        </w:rPr>
        <w:t>J Chem Inf Model.</w:t>
      </w:r>
      <w:r>
        <w:t xml:space="preserve"> 2020;60(3):1090-1100. doi:10.1021/acs.jcim.9b01156</w:t>
      </w:r>
    </w:p>
    <w:p>
      <w:pPr>
        <w:pStyle w:val="ListNumber"/>
      </w:pPr>
      <w:r>
        <w:t>Mansouri K, Grulke CM, Richard AM, Judson RS, Williams AJ. An automated</w:t>
      </w:r>
    </w:p>
    <w:p>
      <w:r>
        <w:t xml:space="preserve">curation procedure for addressing chemical errors and inconsistencies in public datasets used in QSAR modelling. </w:t>
      </w:r>
      <w:r>
        <w:rPr>
          <w:i/>
        </w:rPr>
        <w:t>SAR QSAR Environ Res.</w:t>
      </w:r>
      <w:r>
        <w:t xml:space="preserve"> 2016;27(11):939-965. doi:10.1080/1062936X.2016.1253611</w:t>
      </w:r>
    </w:p>
    <w:p>
      <w:r>
        <w:rPr>
          <w:i/>
        </w:rPr>
        <w:t>Software: RDKit (2026.03.4) and the ChEMBL database release corresponding to 2,921,148 molecule records must additionally be cited per their own instructions; these are not PubMed-indexed and their citation form should be verified before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