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3AED"/>
          <w:sz w:val="48"/>
        </w:rPr>
        <w:t>SenseMinds 360</w:t>
      </w:r>
    </w:p>
    <w:p>
      <w:pPr>
        <w:jc w:val="center"/>
      </w:pPr>
      <w:r>
        <w:rPr>
          <w:b/>
          <w:sz w:val="28"/>
        </w:rPr>
        <w:t>Deployment Strategy v1</w:t>
      </w:r>
    </w:p>
    <w:p>
      <w:pPr>
        <w:jc w:val="center"/>
      </w:pPr>
      <w:r>
        <w:rPr>
          <w:color w:val="57534E"/>
          <w:sz w:val="19"/>
        </w:rPr>
        <w:t>Single Plant · GCE VM + persistent disk · 21 July 2026</w:t>
      </w:r>
    </w:p>
    <w:p/>
    <w:p>
      <w:pPr>
        <w:pStyle w:val="Heading1"/>
      </w:pPr>
      <w:r>
        <w:rPr>
          <w:b/>
          <w:color w:val="7C3AED"/>
          <w:sz w:val="32"/>
        </w:rPr>
        <w:t>Deployment Strategy v1 — Single Plant</w:t>
      </w:r>
    </w:p>
    <w:p>
      <w:r>
        <w:rPr>
          <w:b/>
          <w:sz w:val="21"/>
        </w:rPr>
        <w:t>Status: current target architecture for the first production deployment.</w:t>
      </w:r>
    </w:p>
    <w:p>
      <w:r>
        <w:rPr>
          <w:b w:val="0"/>
          <w:sz w:val="21"/>
        </w:rPr>
        <w:t xml:space="preserve">This is *v1*, not the final architecture. It is deliberately the lowest-risk path that satisfies the real requirements for one plant: durable state, data consistency, and operational supportability. Because the application depends only on abstractions — repositories, an </w:t>
      </w:r>
      <w:r>
        <w:rPr>
          <w:rFonts w:ascii="Consolas" w:hAnsi="Consolas"/>
          <w:color w:val="BE123C"/>
          <w:sz w:val="21"/>
        </w:rPr>
        <w:t>ArtifactStore</w:t>
      </w:r>
      <w:r>
        <w:rPr>
          <w:b w:val="0"/>
          <w:sz w:val="21"/>
        </w:rPr>
        <w:t xml:space="preserve"> port, and per-store database URLs — a future multi-plant deployment can migrate to managed services </w:t>
      </w:r>
      <w:r>
        <w:rPr>
          <w:b/>
          <w:sz w:val="21"/>
        </w:rPr>
        <w:t>without changing application code</w:t>
      </w:r>
      <w:r>
        <w:rPr>
          <w:b w:val="0"/>
          <w:sz w:val="21"/>
        </w:rPr>
        <w:t xml:space="preserve"> (see §7).</w:t>
      </w:r>
    </w:p>
    <w:p/>
    <w:p>
      <w:pPr>
        <w:pStyle w:val="Heading2"/>
      </w:pPr>
      <w:r>
        <w:rPr>
          <w:b/>
          <w:color w:val="1C1917"/>
          <w:sz w:val="27"/>
        </w:rPr>
        <w:t>1. Principle: state lives independently of the container lifecycle</w:t>
      </w:r>
    </w:p>
    <w:p>
      <w:r>
        <w:rPr>
          <w:b w:val="0"/>
          <w:sz w:val="21"/>
        </w:rPr>
        <w:t>The single rule the whole design follows:</w:t>
      </w:r>
    </w:p>
    <w:tbl>
      <w:tblPr>
        <w:tblW w:type="auto" w:w="0"/>
        <w:tblLook w:firstColumn="1" w:firstRow="1" w:lastColumn="0" w:lastRow="0" w:noHBand="0" w:noVBand="1" w:val="04A0"/>
      </w:tblPr>
      <w:tblGrid>
        <w:gridCol w:w="8640"/>
      </w:tblGrid>
      <w:tr>
        <w:tc>
          <w:tcPr>
            <w:tcW w:type="dxa" w:w="8640"/>
            <w:shd w:fill="FEF3C7"/>
          </w:tcPr>
          <w:p>
            <w:r/>
            <w:r>
              <w:rPr>
                <w:b/>
                <w:sz w:val="20"/>
              </w:rPr>
              <w:t>Containers are stateless. The persistent disk is the source of truth.</w:t>
            </w:r>
          </w:p>
        </w:tc>
      </w:tr>
    </w:tbl>
    <w:p/>
    <w:p>
      <w:r>
        <w:rPr>
          <w:b w:val="0"/>
          <w:sz w:val="21"/>
        </w:rPr>
        <w:t>Any container — API, worker, database — can be killed and replaced at any moment. Nothing durable may live inside one. Three things hold state, and all three are placed on the persistent disk, independent of any container:</w:t>
      </w:r>
    </w:p>
    <w:tbl>
      <w:tblPr>
        <w:tblStyle w:val="TableGrid"/>
        <w:tblW w:type="auto" w:w="0"/>
        <w:jc w:val="center"/>
        <w:tblLook w:firstColumn="1" w:firstRow="1" w:lastColumn="0" w:lastRow="0" w:noHBand="0" w:noVBand="1" w:val="04A0"/>
      </w:tblPr>
      <w:tblGrid>
        <w:gridCol w:w="2880"/>
        <w:gridCol w:w="2880"/>
        <w:gridCol w:w="2880"/>
      </w:tblGrid>
      <w:tr>
        <w:tc>
          <w:tcPr>
            <w:tcW w:type="dxa" w:w="3216"/>
            <w:shd w:fill="EDE9FE"/>
          </w:tcPr>
          <w:p>
            <w:r>
              <w:rPr>
                <w:b/>
              </w:rPr>
            </w:r>
            <w:r>
              <w:rPr>
                <w:b/>
                <w:sz w:val="18"/>
              </w:rPr>
              <w:t>State</w:t>
            </w:r>
          </w:p>
        </w:tc>
        <w:tc>
          <w:tcPr>
            <w:tcW w:type="dxa" w:w="3216"/>
            <w:shd w:fill="EDE9FE"/>
          </w:tcPr>
          <w:p>
            <w:r>
              <w:rPr>
                <w:b/>
              </w:rPr>
            </w:r>
            <w:r>
              <w:rPr>
                <w:b/>
                <w:sz w:val="18"/>
              </w:rPr>
              <w:t>Location on the persistent disk</w:t>
            </w:r>
          </w:p>
        </w:tc>
        <w:tc>
          <w:tcPr>
            <w:tcW w:type="dxa" w:w="3216"/>
            <w:shd w:fill="EDE9FE"/>
          </w:tcPr>
          <w:p>
            <w:r>
              <w:rPr>
                <w:b/>
              </w:rPr>
            </w:r>
            <w:r>
              <w:rPr>
                <w:b/>
                <w:sz w:val="18"/>
              </w:rPr>
              <w:t>Survives container/VM restart</w:t>
            </w:r>
          </w:p>
        </w:tc>
      </w:tr>
      <w:tr>
        <w:tc>
          <w:tcPr>
            <w:tcW w:type="dxa" w:w="3216"/>
          </w:tcPr>
          <w:p>
            <w:r/>
            <w:r>
              <w:rPr>
                <w:b w:val="0"/>
                <w:sz w:val="18"/>
              </w:rPr>
              <w:t>PostgreSQL + TimescaleDB data</w:t>
            </w:r>
          </w:p>
        </w:tc>
        <w:tc>
          <w:tcPr>
            <w:tcW w:type="dxa" w:w="3216"/>
          </w:tcPr>
          <w:p>
            <w:r/>
            <w:r>
              <w:rPr>
                <w:rFonts w:ascii="Consolas" w:hAnsi="Consolas"/>
                <w:color w:val="BE123C"/>
                <w:sz w:val="18"/>
              </w:rPr>
              <w:t>/mnt/data/pgdata</w:t>
            </w:r>
          </w:p>
        </w:tc>
        <w:tc>
          <w:tcPr>
            <w:tcW w:type="dxa" w:w="3216"/>
          </w:tcPr>
          <w:p>
            <w:r/>
            <w:r>
              <w:rPr>
                <w:b w:val="0"/>
                <w:sz w:val="18"/>
              </w:rPr>
              <w:t>✅</w:t>
            </w:r>
          </w:p>
        </w:tc>
      </w:tr>
      <w:tr>
        <w:tc>
          <w:tcPr>
            <w:tcW w:type="dxa" w:w="3216"/>
          </w:tcPr>
          <w:p>
            <w:r/>
            <w:r>
              <w:rPr>
                <w:b w:val="0"/>
                <w:sz w:val="18"/>
              </w:rPr>
              <w:t>Engine artifacts (evidence behind findings)</w:t>
            </w:r>
          </w:p>
        </w:tc>
        <w:tc>
          <w:tcPr>
            <w:tcW w:type="dxa" w:w="3216"/>
          </w:tcPr>
          <w:p>
            <w:r/>
            <w:r>
              <w:rPr>
                <w:rFonts w:ascii="Consolas" w:hAnsi="Consolas"/>
                <w:color w:val="BE123C"/>
                <w:sz w:val="18"/>
              </w:rPr>
              <w:t>/mnt/data/artifacts</w:t>
            </w:r>
          </w:p>
        </w:tc>
        <w:tc>
          <w:tcPr>
            <w:tcW w:type="dxa" w:w="3216"/>
          </w:tcPr>
          <w:p>
            <w:r/>
            <w:r>
              <w:rPr>
                <w:b w:val="0"/>
                <w:sz w:val="18"/>
              </w:rPr>
              <w:t>✅</w:t>
            </w:r>
          </w:p>
        </w:tc>
      </w:tr>
      <w:tr>
        <w:tc>
          <w:tcPr>
            <w:tcW w:type="dxa" w:w="3216"/>
          </w:tcPr>
          <w:p>
            <w:r/>
            <w:r>
              <w:rPr>
                <w:b w:val="0"/>
                <w:sz w:val="18"/>
              </w:rPr>
              <w:t>Backups</w:t>
            </w:r>
          </w:p>
        </w:tc>
        <w:tc>
          <w:tcPr>
            <w:tcW w:type="dxa" w:w="3216"/>
          </w:tcPr>
          <w:p>
            <w:r/>
            <w:r>
              <w:rPr>
                <w:rFonts w:ascii="Consolas" w:hAnsi="Consolas"/>
                <w:color w:val="BE123C"/>
                <w:sz w:val="18"/>
              </w:rPr>
              <w:t>/mnt/data/backups</w:t>
            </w:r>
            <w:r>
              <w:rPr>
                <w:b w:val="0"/>
                <w:sz w:val="18"/>
              </w:rPr>
              <w:t xml:space="preserve"> (+ GCS)</w:t>
            </w:r>
          </w:p>
        </w:tc>
        <w:tc>
          <w:tcPr>
            <w:tcW w:type="dxa" w:w="3216"/>
          </w:tcPr>
          <w:p>
            <w:r/>
            <w:r>
              <w:rPr>
                <w:b w:val="0"/>
                <w:sz w:val="18"/>
              </w:rPr>
              <w:t>✅</w:t>
            </w:r>
          </w:p>
        </w:tc>
      </w:tr>
      <w:tr>
        <w:tc>
          <w:tcPr>
            <w:tcW w:type="dxa" w:w="3216"/>
          </w:tcPr>
          <w:p>
            <w:r/>
            <w:r>
              <w:rPr>
                <w:b w:val="0"/>
                <w:sz w:val="18"/>
              </w:rPr>
              <w:t>TLS material</w:t>
            </w:r>
          </w:p>
        </w:tc>
        <w:tc>
          <w:tcPr>
            <w:tcW w:type="dxa" w:w="3216"/>
          </w:tcPr>
          <w:p>
            <w:r/>
            <w:r>
              <w:rPr>
                <w:rFonts w:ascii="Consolas" w:hAnsi="Consolas"/>
                <w:color w:val="BE123C"/>
                <w:sz w:val="18"/>
              </w:rPr>
              <w:t>/mnt/data/caddy</w:t>
            </w:r>
          </w:p>
        </w:tc>
        <w:tc>
          <w:tcPr>
            <w:tcW w:type="dxa" w:w="3216"/>
          </w:tcPr>
          <w:p>
            <w:r/>
            <w:r>
              <w:rPr>
                <w:b w:val="0"/>
                <w:sz w:val="18"/>
              </w:rPr>
              <w:t>✅</w:t>
            </w:r>
          </w:p>
        </w:tc>
      </w:tr>
    </w:tbl>
    <w:p/>
    <w:p>
      <w:r>
        <w:rPr>
          <w:b w:val="0"/>
          <w:sz w:val="21"/>
        </w:rPr>
        <w:t xml:space="preserve">Secrets live in </w:t>
      </w:r>
      <w:r>
        <w:rPr>
          <w:rFonts w:ascii="Consolas" w:hAnsi="Consolas"/>
          <w:color w:val="BE123C"/>
          <w:sz w:val="21"/>
        </w:rPr>
        <w:t>deployment/.env</w:t>
      </w:r>
      <w:r>
        <w:rPr>
          <w:b w:val="0"/>
          <w:sz w:val="21"/>
        </w:rPr>
        <w:t xml:space="preserve"> (never committed).</w:t>
      </w:r>
    </w:p>
    <w:p/>
    <w:p>
      <w:pPr>
        <w:pStyle w:val="Heading2"/>
      </w:pPr>
      <w:r>
        <w:rPr>
          <w:b/>
          <w:color w:val="1C1917"/>
          <w:sz w:val="27"/>
        </w:rPr>
        <w:t>2. Topology</w:t>
      </w:r>
    </w:p>
    <w:tbl>
      <w:tblPr>
        <w:tblW w:type="auto" w:w="0"/>
        <w:tblLook w:firstColumn="1" w:firstRow="1" w:lastColumn="0" w:lastRow="0" w:noHBand="0" w:noVBand="1" w:val="04A0"/>
      </w:tblPr>
      <w:tblGrid>
        <w:gridCol w:w="8640"/>
      </w:tblGrid>
      <w:tr>
        <w:tc>
          <w:tcPr>
            <w:tcW w:type="dxa" w:w="8640"/>
            <w:shd w:fill="F5F5F4"/>
          </w:tcPr>
          <w:p>
            <w:pPr>
              <w:spacing w:after="0" w:line="240" w:lineRule="auto"/>
            </w:pPr>
            <w:r/>
            <w:r>
              <w:rPr>
                <w:rFonts w:ascii="Consolas" w:hAnsi="Consolas"/>
                <w:color w:val="1C1917"/>
                <w:sz w:val="17"/>
              </w:rPr>
              <w:t xml:space="preserve">                       Internet</w:t>
            </w:r>
          </w:p>
          <w:p>
            <w:pPr>
              <w:spacing w:after="0" w:line="240" w:lineRule="auto"/>
            </w:pPr>
            <w:r>
              <w:rPr>
                <w:rFonts w:ascii="Consolas" w:hAnsi="Consolas"/>
                <w:color w:val="1C1917"/>
                <w:sz w:val="17"/>
              </w:rPr>
              <w:t xml:space="preserve">                          │  (only 80/443/22 open — GCP firewall)</w:t>
            </w:r>
          </w:p>
          <w:p>
            <w:pPr>
              <w:spacing w:after="0" w:line="240" w:lineRule="auto"/>
            </w:pPr>
            <w:r>
              <w:rPr>
                <w:rFonts w:ascii="Consolas" w:hAnsi="Consolas"/>
                <w:color w:val="1C1917"/>
                <w:sz w:val="17"/>
              </w:rPr>
              <w:t xml:space="preserve">                          ▼</w:t>
            </w:r>
          </w:p>
          <w:p>
            <w:pPr>
              <w:spacing w:after="0" w:line="240" w:lineRule="auto"/>
            </w:pPr>
            <w:r>
              <w:rPr>
                <w:rFonts w:ascii="Consolas" w:hAnsi="Consolas"/>
                <w:color w:val="1C1917"/>
                <w:sz w:val="17"/>
              </w:rPr>
              <w:t xml:space="preserve">                   ┌────────────┐</w:t>
            </w:r>
          </w:p>
          <w:p>
            <w:pPr>
              <w:spacing w:after="0" w:line="240" w:lineRule="auto"/>
            </w:pPr>
            <w:r>
              <w:rPr>
                <w:rFonts w:ascii="Consolas" w:hAnsi="Consolas"/>
                <w:color w:val="1C1917"/>
                <w:sz w:val="17"/>
              </w:rPr>
              <w:t xml:space="preserve">                   │   Caddy    │  automatic TLS, reverse proxy</w:t>
            </w:r>
          </w:p>
          <w:p>
            <w:pPr>
              <w:spacing w:after="0" w:line="240" w:lineRule="auto"/>
            </w:pPr>
            <w:r>
              <w:rPr>
                <w:rFonts w:ascii="Consolas" w:hAnsi="Consolas"/>
                <w:color w:val="1C1917"/>
                <w:sz w:val="17"/>
              </w:rPr>
              <w:t xml:space="preserve">                   └────┬───────┘</w:t>
            </w:r>
          </w:p>
          <w:p>
            <w:pPr>
              <w:spacing w:after="0" w:line="240" w:lineRule="auto"/>
            </w:pPr>
            <w:r>
              <w:rPr>
                <w:rFonts w:ascii="Consolas" w:hAnsi="Consolas"/>
                <w:color w:val="1C1917"/>
                <w:sz w:val="17"/>
              </w:rPr>
              <w:t xml:space="preserve">              /api/*    │    everything else</w:t>
            </w:r>
          </w:p>
          <w:p>
            <w:pPr>
              <w:spacing w:after="0" w:line="240" w:lineRule="auto"/>
            </w:pPr>
            <w:r>
              <w:rPr>
                <w:rFonts w:ascii="Consolas" w:hAnsi="Consolas"/>
                <w:color w:val="1C1917"/>
                <w:sz w:val="17"/>
              </w:rPr>
              <w:t xml:space="preserve">                   ▼         ▼</w:t>
            </w:r>
          </w:p>
          <w:p>
            <w:pPr>
              <w:spacing w:after="0" w:line="240" w:lineRule="auto"/>
            </w:pPr>
            <w:r>
              <w:rPr>
                <w:rFonts w:ascii="Consolas" w:hAnsi="Consolas"/>
                <w:color w:val="1C1917"/>
                <w:sz w:val="17"/>
              </w:rPr>
              <w:t xml:space="preserve">              ┌────────┐  ┌───────────┐</w:t>
            </w:r>
          </w:p>
          <w:p>
            <w:pPr>
              <w:spacing w:after="0" w:line="240" w:lineRule="auto"/>
            </w:pPr>
            <w:r>
              <w:rPr>
                <w:rFonts w:ascii="Consolas" w:hAnsi="Consolas"/>
                <w:color w:val="1C1917"/>
                <w:sz w:val="17"/>
              </w:rPr>
              <w:t xml:space="preserve">              │  API   │  │ dashboard │      (stateless containers)</w:t>
            </w:r>
          </w:p>
          <w:p>
            <w:pPr>
              <w:spacing w:after="0" w:line="240" w:lineRule="auto"/>
            </w:pPr>
            <w:r>
              <w:rPr>
                <w:rFonts w:ascii="Consolas" w:hAnsi="Consolas"/>
                <w:color w:val="1C1917"/>
                <w:sz w:val="17"/>
              </w:rPr>
              <w:t xml:space="preserve">              └───┬────┘  └───────────┘</w:t>
            </w:r>
          </w:p>
          <w:p>
            <w:pPr>
              <w:spacing w:after="0" w:line="240" w:lineRule="auto"/>
            </w:pPr>
            <w:r>
              <w:rPr>
                <w:rFonts w:ascii="Consolas" w:hAnsi="Consolas"/>
                <w:color w:val="1C1917"/>
                <w:sz w:val="17"/>
              </w:rPr>
              <w:t xml:space="preserve">                  │</w:t>
            </w:r>
          </w:p>
          <w:p>
            <w:pPr>
              <w:spacing w:after="0" w:line="240" w:lineRule="auto"/>
            </w:pPr>
            <w:r>
              <w:rPr>
                <w:rFonts w:ascii="Consolas" w:hAnsi="Consolas"/>
                <w:color w:val="1C1917"/>
                <w:sz w:val="17"/>
              </w:rPr>
              <w:t xml:space="preserve">      ┌───────────┼──────────────┐</w:t>
            </w:r>
          </w:p>
          <w:p>
            <w:pPr>
              <w:spacing w:after="0" w:line="240" w:lineRule="auto"/>
            </w:pPr>
            <w:r>
              <w:rPr>
                <w:rFonts w:ascii="Consolas" w:hAnsi="Consolas"/>
                <w:color w:val="1C1917"/>
                <w:sz w:val="17"/>
              </w:rPr>
              <w:t xml:space="preserve">      ▼           ▼              ▼</w:t>
            </w:r>
          </w:p>
          <w:p>
            <w:pPr>
              <w:spacing w:after="0" w:line="240" w:lineRule="auto"/>
            </w:pPr>
            <w:r>
              <w:rPr>
                <w:rFonts w:ascii="Consolas" w:hAnsi="Consolas"/>
                <w:color w:val="1C1917"/>
                <w:sz w:val="17"/>
              </w:rPr>
              <w:t xml:space="preserve"> ┌─────────┐ ┌─────────┐   ┌──────────────┐</w:t>
            </w:r>
          </w:p>
          <w:p>
            <w:pPr>
              <w:spacing w:after="0" w:line="240" w:lineRule="auto"/>
            </w:pPr>
            <w:r>
              <w:rPr>
                <w:rFonts w:ascii="Consolas" w:hAnsi="Consolas"/>
                <w:color w:val="1C1917"/>
                <w:sz w:val="17"/>
              </w:rPr>
              <w:t xml:space="preserve"> │ worker  │ │ Postgres│   │ artifacts    │</w:t>
            </w:r>
          </w:p>
          <w:p>
            <w:pPr>
              <w:spacing w:after="0" w:line="240" w:lineRule="auto"/>
            </w:pPr>
            <w:r>
              <w:rPr>
                <w:rFonts w:ascii="Consolas" w:hAnsi="Consolas"/>
                <w:color w:val="1C1917"/>
                <w:sz w:val="17"/>
              </w:rPr>
              <w:t xml:space="preserve"> │ (batch) │ │+Timescale   │ (local disk) │</w:t>
            </w:r>
          </w:p>
          <w:p>
            <w:pPr>
              <w:spacing w:after="0" w:line="240" w:lineRule="auto"/>
            </w:pPr>
            <w:r>
              <w:rPr>
                <w:rFonts w:ascii="Consolas" w:hAnsi="Consolas"/>
                <w:color w:val="1C1917"/>
                <w:sz w:val="17"/>
              </w:rPr>
              <w:t xml:space="preserve"> └─────────┘ └────┬────┘   └──────────────┘</w:t>
            </w:r>
          </w:p>
          <w:p>
            <w:pPr>
              <w:spacing w:after="0" w:line="240" w:lineRule="auto"/>
            </w:pPr>
            <w:r>
              <w:rPr>
                <w:rFonts w:ascii="Consolas" w:hAnsi="Consolas"/>
                <w:color w:val="1C1917"/>
                <w:sz w:val="17"/>
              </w:rPr>
              <w:t xml:space="preserve">                  │</w:t>
            </w:r>
          </w:p>
          <w:p>
            <w:pPr>
              <w:spacing w:after="0" w:line="240" w:lineRule="auto"/>
            </w:pPr>
            <w:r>
              <w:rPr>
                <w:rFonts w:ascii="Consolas" w:hAnsi="Consolas"/>
                <w:color w:val="1C1917"/>
                <w:sz w:val="17"/>
              </w:rPr>
              <w:t xml:space="preserve">         ═════════▼═══════════════════════════</w:t>
            </w:r>
          </w:p>
          <w:p>
            <w:pPr>
              <w:spacing w:after="0" w:line="240" w:lineRule="auto"/>
            </w:pPr>
            <w:r>
              <w:rPr>
                <w:rFonts w:ascii="Consolas" w:hAnsi="Consolas"/>
                <w:color w:val="1C1917"/>
                <w:sz w:val="17"/>
              </w:rPr>
              <w:t xml:space="preserve">              PERSISTENT DISK  /mnt/data</w:t>
            </w:r>
          </w:p>
          <w:p>
            <w:pPr>
              <w:spacing w:after="0" w:line="240" w:lineRule="auto"/>
            </w:pPr>
            <w:r>
              <w:rPr>
                <w:rFonts w:ascii="Consolas" w:hAnsi="Consolas"/>
                <w:color w:val="1C1917"/>
                <w:sz w:val="17"/>
              </w:rPr>
              <w:t xml:space="preserve">              pgdata · artifacts · backups · caddy</w:t>
            </w:r>
          </w:p>
          <w:p>
            <w:pPr>
              <w:spacing w:after="0" w:line="240" w:lineRule="auto"/>
            </w:pPr>
            <w:r>
              <w:rPr>
                <w:rFonts w:ascii="Consolas" w:hAnsi="Consolas"/>
                <w:color w:val="1C1917"/>
                <w:sz w:val="17"/>
              </w:rPr>
              <w:t xml:space="preserve">         (separate GCP resource; auto-delete OFF;</w:t>
            </w:r>
          </w:p>
          <w:p>
            <w:pPr>
              <w:spacing w:after="0" w:line="240" w:lineRule="auto"/>
            </w:pPr>
            <w:r>
              <w:rPr>
                <w:rFonts w:ascii="Consolas" w:hAnsi="Consolas"/>
                <w:color w:val="1C1917"/>
                <w:sz w:val="17"/>
              </w:rPr>
              <w:t xml:space="preserve">          scheduled snapshots; survives VM deletion)</w:t>
            </w:r>
          </w:p>
        </w:tc>
      </w:tr>
    </w:tbl>
    <w:p/>
    <w:p>
      <w:r>
        <w:rPr>
          <w:b w:val="0"/>
          <w:sz w:val="21"/>
        </w:rPr>
        <w:t>Why a GCE VM rather than Cloud Run + Cloud SQL:</w:t>
      </w:r>
    </w:p>
    <w:p>
      <w:pPr>
        <w:pStyle w:val="ListBullet"/>
      </w:pPr>
      <w:r>
        <w:rPr>
          <w:b/>
          <w:sz w:val="21"/>
        </w:rPr>
        <w:t>TimescaleDB stays unchanged.</w:t>
      </w:r>
      <w:r>
        <w:rPr>
          <w:b w:val="0"/>
          <w:sz w:val="21"/>
        </w:rPr>
        <w:t xml:space="preserve"> Cloud SQL does not offer the extension; the VM runs the platform's own </w:t>
      </w:r>
      <w:r>
        <w:rPr>
          <w:rFonts w:ascii="Consolas" w:hAnsi="Consolas"/>
          <w:color w:val="BE123C"/>
          <w:sz w:val="21"/>
        </w:rPr>
        <w:t>timescale/timescaledb</w:t>
      </w:r>
      <w:r>
        <w:rPr>
          <w:b w:val="0"/>
          <w:sz w:val="21"/>
        </w:rPr>
        <w:t xml:space="preserve"> image, so hypertables and compression work with no code change.</w:t>
      </w:r>
    </w:p>
    <w:p>
      <w:pPr>
        <w:pStyle w:val="ListBullet"/>
      </w:pPr>
      <w:r>
        <w:rPr>
          <w:b/>
          <w:sz w:val="21"/>
        </w:rPr>
        <w:t>The existing docker-compose stack runs almost as-is</w:t>
      </w:r>
      <w:r>
        <w:rPr>
          <w:b w:val="0"/>
          <w:sz w:val="21"/>
        </w:rPr>
        <w:t xml:space="preserve"> — least new surface, least risk to data consistency.</w:t>
      </w:r>
    </w:p>
    <w:p>
      <w:pPr>
        <w:pStyle w:val="ListBullet"/>
      </w:pPr>
      <w:r>
        <w:rPr>
          <w:b/>
          <w:sz w:val="21"/>
        </w:rPr>
        <w:t>Artifacts need no new code.</w:t>
      </w:r>
      <w:r>
        <w:rPr>
          <w:b w:val="0"/>
          <w:sz w:val="21"/>
        </w:rPr>
        <w:t xml:space="preserve"> A persistent disk holds them; the </w:t>
      </w:r>
      <w:r>
        <w:rPr>
          <w:rFonts w:ascii="Consolas" w:hAnsi="Consolas"/>
          <w:color w:val="BE123C"/>
          <w:sz w:val="21"/>
        </w:rPr>
        <w:t>ArtifactStore</w:t>
      </w:r>
      <w:r>
        <w:rPr>
          <w:b w:val="0"/>
          <w:sz w:val="21"/>
        </w:rPr>
        <w:t xml:space="preserve"> abstraction is ready for a </w:t>
      </w:r>
      <w:r>
        <w:rPr>
          <w:rFonts w:ascii="Consolas" w:hAnsi="Consolas"/>
          <w:color w:val="BE123C"/>
          <w:sz w:val="21"/>
        </w:rPr>
        <w:t>GcsArtifactStore</w:t>
      </w:r>
      <w:r>
        <w:rPr>
          <w:b w:val="0"/>
          <w:sz w:val="21"/>
        </w:rPr>
        <w:t xml:space="preserve"> later, but v1 does not need one.</w:t>
      </w:r>
    </w:p>
    <w:p/>
    <w:p>
      <w:pPr>
        <w:pStyle w:val="Heading2"/>
      </w:pPr>
      <w:r>
        <w:rPr>
          <w:b/>
          <w:color w:val="1C1917"/>
          <w:sz w:val="27"/>
        </w:rPr>
        <w:t>3. What runs</w:t>
      </w:r>
    </w:p>
    <w:tbl>
      <w:tblPr>
        <w:tblW w:type="auto" w:w="0"/>
        <w:tblLook w:firstColumn="1" w:firstRow="1" w:lastColumn="0" w:lastRow="0" w:noHBand="0" w:noVBand="1" w:val="04A0"/>
      </w:tblPr>
      <w:tblGrid>
        <w:gridCol w:w="8640"/>
      </w:tblGrid>
      <w:tr>
        <w:tc>
          <w:tcPr>
            <w:tcW w:type="dxa" w:w="8640"/>
            <w:shd w:fill="F5F5F4"/>
          </w:tcPr>
          <w:p>
            <w:pPr>
              <w:spacing w:after="0" w:line="240" w:lineRule="auto"/>
            </w:pPr>
            <w:r/>
            <w:r>
              <w:rPr>
                <w:rFonts w:ascii="Consolas" w:hAnsi="Consolas"/>
                <w:color w:val="1C1917"/>
                <w:sz w:val="17"/>
              </w:rPr>
              <w:t>docker compose -f docker-compose.yml -f docker-compose.gcp.yml \</w:t>
            </w:r>
          </w:p>
          <w:p>
            <w:pPr>
              <w:spacing w:after="0" w:line="240" w:lineRule="auto"/>
            </w:pPr>
            <w:r>
              <w:rPr>
                <w:rFonts w:ascii="Consolas" w:hAnsi="Consolas"/>
                <w:color w:val="1C1917"/>
                <w:sz w:val="17"/>
              </w:rPr>
              <w:t xml:space="preserve">    --profile batch up -d --build</w:t>
            </w:r>
          </w:p>
        </w:tc>
      </w:tr>
    </w:tbl>
    <w:p/>
    <w:p>
      <w:r>
        <w:rPr>
          <w:b w:val="0"/>
          <w:sz w:val="21"/>
        </w:rPr>
        <w:t>The overlay (</w:t>
      </w:r>
      <w:r>
        <w:rPr>
          <w:rFonts w:ascii="Consolas" w:hAnsi="Consolas"/>
          <w:color w:val="BE123C"/>
          <w:sz w:val="21"/>
        </w:rPr>
        <w:t>docker-compose.gcp.yml</w:t>
      </w:r>
      <w:r>
        <w:rPr>
          <w:b w:val="0"/>
          <w:sz w:val="21"/>
        </w:rPr>
        <w:t xml:space="preserve">) adds only Caddy; everything else is the base stack with </w:t>
      </w:r>
      <w:r>
        <w:rPr>
          <w:rFonts w:ascii="Consolas" w:hAnsi="Consolas"/>
          <w:color w:val="BE123C"/>
          <w:sz w:val="21"/>
        </w:rPr>
        <w:t>SM_DATA=/mnt/data</w:t>
      </w:r>
      <w:r>
        <w:rPr>
          <w:b w:val="0"/>
          <w:sz w:val="21"/>
        </w:rPr>
        <w:t xml:space="preserve"> pointing all volumes at the persistent disk.</w:t>
      </w:r>
    </w:p>
    <w:p>
      <w:pPr>
        <w:pStyle w:val="ListBullet"/>
      </w:pPr>
      <w:r>
        <w:rPr>
          <w:b/>
          <w:sz w:val="21"/>
        </w:rPr>
        <w:t>`--profile batch` runs the real analysis worker.</w:t>
      </w:r>
      <w:r>
        <w:rPr>
          <w:b w:val="0"/>
          <w:sz w:val="21"/>
        </w:rPr>
        <w:t xml:space="preserve"> This matters: the API only</w:t>
      </w:r>
    </w:p>
    <w:p>
      <w:r>
        <w:rPr>
          <w:b w:val="0"/>
          <w:sz w:val="21"/>
        </w:rPr>
        <w:t xml:space="preserve">*serves* already-computed state. Without a worker (or an explicit </w:t>
      </w:r>
      <w:r>
        <w:rPr>
          <w:rFonts w:ascii="Consolas" w:hAnsi="Consolas"/>
          <w:color w:val="BE123C"/>
          <w:sz w:val="21"/>
        </w:rPr>
        <w:t>POST /analyze</w:t>
      </w:r>
      <w:r>
        <w:rPr>
          <w:b w:val="0"/>
          <w:sz w:val="21"/>
        </w:rPr>
        <w:t>), no new data is ever processed. The worker is what keeps analysis and escalation email flowing on the live feed.</w:t>
      </w:r>
    </w:p>
    <w:p>
      <w:pPr>
        <w:pStyle w:val="ListBullet"/>
      </w:pPr>
      <w:r>
        <w:rPr>
          <w:b/>
          <w:sz w:val="21"/>
        </w:rPr>
        <w:t>The simulator is never run in production</w:t>
      </w:r>
      <w:r>
        <w:rPr>
          <w:b w:val="0"/>
          <w:sz w:val="21"/>
        </w:rPr>
        <w:t xml:space="preserve"> — it writes synthetic readings.</w:t>
      </w:r>
    </w:p>
    <w:p/>
    <w:p>
      <w:pPr>
        <w:pStyle w:val="Heading2"/>
      </w:pPr>
      <w:r>
        <w:rPr>
          <w:b/>
          <w:color w:val="1C1917"/>
          <w:sz w:val="27"/>
        </w:rPr>
        <w:t>4. First deploy is not automatically populated</w:t>
      </w:r>
    </w:p>
    <w:p>
      <w:r>
        <w:rPr>
          <w:b w:val="0"/>
          <w:sz w:val="21"/>
        </w:rPr>
        <w:t xml:space="preserve">A fresh database is empty, so every endpoint returns </w:t>
      </w:r>
      <w:r>
        <w:rPr>
          <w:rFonts w:ascii="Consolas" w:hAnsi="Consolas"/>
          <w:color w:val="BE123C"/>
          <w:sz w:val="21"/>
        </w:rPr>
        <w:t>[]</w:t>
      </w:r>
      <w:r>
        <w:rPr>
          <w:b w:val="0"/>
          <w:sz w:val="21"/>
        </w:rPr>
        <w:t xml:space="preserve"> until data exists. This is expected, not a bug. Load data deliberately, once:</w:t>
      </w:r>
    </w:p>
    <w:p>
      <w:pPr>
        <w:pStyle w:val="ListBullet"/>
      </w:pPr>
      <w:r>
        <w:rPr>
          <w:b w:val="0"/>
          <w:sz w:val="21"/>
        </w:rPr>
        <w:t xml:space="preserve">Set </w:t>
      </w:r>
      <w:r>
        <w:rPr>
          <w:rFonts w:ascii="Consolas" w:hAnsi="Consolas"/>
          <w:color w:val="BE123C"/>
          <w:sz w:val="21"/>
        </w:rPr>
        <w:t>SENSEMINDS_BOOTSTRAP_ON_START=true</w:t>
      </w:r>
      <w:r>
        <w:rPr>
          <w:b w:val="0"/>
          <w:sz w:val="21"/>
        </w:rPr>
        <w:t xml:space="preserve"> (the default) and mount the processed CSVs at </w:t>
      </w:r>
      <w:r>
        <w:rPr>
          <w:rFonts w:ascii="Consolas" w:hAnsi="Consolas"/>
          <w:color w:val="BE123C"/>
          <w:sz w:val="21"/>
        </w:rPr>
        <w:t>/data/datasets</w:t>
      </w:r>
      <w:r>
        <w:rPr>
          <w:b w:val="0"/>
          <w:sz w:val="21"/>
        </w:rPr>
        <w:t>; the worker bootstraps sensor history on first start.</w:t>
      </w:r>
    </w:p>
    <w:p>
      <w:pPr>
        <w:pStyle w:val="ListBullet"/>
      </w:pPr>
      <w:r>
        <w:rPr>
          <w:b w:val="0"/>
          <w:sz w:val="21"/>
        </w:rPr>
        <w:t xml:space="preserve">Or </w:t>
      </w:r>
      <w:r>
        <w:rPr>
          <w:rFonts w:ascii="Consolas" w:hAnsi="Consolas"/>
          <w:color w:val="BE123C"/>
          <w:sz w:val="21"/>
        </w:rPr>
        <w:t>POST</w:t>
      </w:r>
      <w:r>
        <w:rPr>
          <w:b w:val="0"/>
          <w:sz w:val="21"/>
        </w:rPr>
        <w:t xml:space="preserve"> readings to </w:t>
      </w:r>
      <w:r>
        <w:rPr>
          <w:rFonts w:ascii="Consolas" w:hAnsi="Consolas"/>
          <w:color w:val="BE123C"/>
          <w:sz w:val="21"/>
        </w:rPr>
        <w:t>/api/v1/readings</w:t>
      </w:r>
      <w:r>
        <w:rPr>
          <w:b w:val="0"/>
          <w:sz w:val="21"/>
        </w:rPr>
        <w:t xml:space="preserve"> from an integration.</w:t>
      </w:r>
    </w:p>
    <w:p>
      <w:r>
        <w:rPr>
          <w:b w:val="0"/>
          <w:sz w:val="21"/>
        </w:rPr>
        <w:t xml:space="preserve">Until one of these runs, the API is up but empty. Verify with </w:t>
      </w:r>
      <w:r>
        <w:rPr>
          <w:rFonts w:ascii="Consolas" w:hAnsi="Consolas"/>
          <w:color w:val="BE123C"/>
          <w:sz w:val="21"/>
        </w:rPr>
        <w:t>GET /api/v1/assets</w:t>
      </w:r>
      <w:r>
        <w:rPr>
          <w:b w:val="0"/>
          <w:sz w:val="21"/>
        </w:rPr>
        <w:t xml:space="preserve"> returning a non-empty list.</w:t>
      </w:r>
    </w:p>
    <w:p/>
    <w:p>
      <w:pPr>
        <w:pStyle w:val="Heading2"/>
      </w:pPr>
      <w:r>
        <w:rPr>
          <w:b/>
          <w:color w:val="1C1917"/>
          <w:sz w:val="27"/>
        </w:rPr>
        <w:t>5. Reproducibility: everything is pinned</w:t>
      </w:r>
    </w:p>
    <w:p>
      <w:r>
        <w:rPr>
          <w:b w:val="0"/>
          <w:sz w:val="21"/>
        </w:rPr>
        <w:t>The platform's core promise is byte-for-byte reproducible engine output. Two pins protect it, both discovered to matter during this work:</w:t>
      </w:r>
    </w:p>
    <w:p>
      <w:pPr>
        <w:pStyle w:val="ListNumber"/>
      </w:pPr>
      <w:r>
        <w:rPr>
          <w:b/>
          <w:sz w:val="21"/>
        </w:rPr>
        <w:t>`requirements.lock`</w:t>
      </w:r>
      <w:r>
        <w:rPr>
          <w:b w:val="0"/>
          <w:sz w:val="21"/>
        </w:rPr>
        <w:t xml:space="preserve"> — exact Python versions (numpy, scipy, scikit-learn, pandas and the rest). The image builds from the lock, not from pyproject's open </w:t>
      </w:r>
      <w:r>
        <w:rPr>
          <w:rFonts w:ascii="Consolas" w:hAnsi="Consolas"/>
          <w:color w:val="BE123C"/>
          <w:sz w:val="21"/>
        </w:rPr>
        <w:t>&gt;=</w:t>
      </w:r>
      <w:r>
        <w:rPr>
          <w:b w:val="0"/>
          <w:sz w:val="21"/>
        </w:rPr>
        <w:t xml:space="preserve"> ranges. An unpinned rebuild could pull a newer numerical library and silently shift results.</w:t>
      </w:r>
    </w:p>
    <w:p>
      <w:pPr>
        <w:pStyle w:val="ListNumber"/>
      </w:pPr>
      <w:r>
        <w:rPr>
          <w:b/>
          <w:sz w:val="21"/>
        </w:rPr>
        <w:t>The Postgres image is pinned by digest.</w:t>
      </w:r>
      <w:r>
        <w:rPr>
          <w:b w:val="0"/>
          <w:sz w:val="21"/>
        </w:rPr>
        <w:t xml:space="preserve"> A floating </w:t>
      </w:r>
      <w:r>
        <w:rPr>
          <w:rFonts w:ascii="Consolas" w:hAnsi="Consolas"/>
          <w:color w:val="BE123C"/>
          <w:sz w:val="21"/>
        </w:rPr>
        <w:t>latest-pg16</w:t>
      </w:r>
      <w:r>
        <w:rPr>
          <w:b w:val="0"/>
          <w:sz w:val="21"/>
        </w:rPr>
        <w:t xml:space="preserve"> tag had already drifted — the TimescaleDB binary moved to 2.28.3 while stored data was 2.28.2, which silently broke logical restore. Pinning keeps binary and extension in lockstep. This was caught by actually testing a restore (§6 of DATA-GOVERNANCE.md).</w:t>
      </w:r>
    </w:p>
    <w:p/>
    <w:p>
      <w:pPr>
        <w:pStyle w:val="Heading2"/>
      </w:pPr>
      <w:r>
        <w:rPr>
          <w:b/>
          <w:color w:val="1C1917"/>
          <w:sz w:val="27"/>
        </w:rPr>
        <w:t>6. Operational supportability</w:t>
      </w:r>
    </w:p>
    <w:p>
      <w:r>
        <w:rPr>
          <w:b w:val="0"/>
          <w:sz w:val="21"/>
        </w:rPr>
        <w:t>Not a full observability stack — the minimum that makes the deployment supportable:</w:t>
      </w:r>
    </w:p>
    <w:tbl>
      <w:tblPr>
        <w:tblStyle w:val="TableGrid"/>
        <w:tblW w:type="auto" w:w="0"/>
        <w:jc w:val="center"/>
        <w:tblLook w:firstColumn="1" w:firstRow="1" w:lastColumn="0" w:lastRow="0" w:noHBand="0" w:noVBand="1" w:val="04A0"/>
      </w:tblPr>
      <w:tblGrid>
        <w:gridCol w:w="4320"/>
        <w:gridCol w:w="4320"/>
      </w:tblGrid>
      <w:tr>
        <w:tc>
          <w:tcPr>
            <w:tcW w:type="dxa" w:w="4824"/>
            <w:shd w:fill="EDE9FE"/>
          </w:tcPr>
          <w:p>
            <w:r>
              <w:rPr>
                <w:b/>
              </w:rPr>
            </w:r>
            <w:r>
              <w:rPr>
                <w:b/>
                <w:sz w:val="18"/>
              </w:rPr>
              <w:t>Concern</w:t>
            </w:r>
          </w:p>
        </w:tc>
        <w:tc>
          <w:tcPr>
            <w:tcW w:type="dxa" w:w="4824"/>
            <w:shd w:fill="EDE9FE"/>
          </w:tcPr>
          <w:p>
            <w:r>
              <w:rPr>
                <w:b/>
              </w:rPr>
            </w:r>
            <w:r>
              <w:rPr>
                <w:b/>
                <w:sz w:val="18"/>
              </w:rPr>
              <w:t>Mechanism</w:t>
            </w:r>
          </w:p>
        </w:tc>
      </w:tr>
      <w:tr>
        <w:tc>
          <w:tcPr>
            <w:tcW w:type="dxa" w:w="4824"/>
          </w:tcPr>
          <w:p>
            <w:r/>
            <w:r>
              <w:rPr>
                <w:b w:val="0"/>
                <w:sz w:val="18"/>
              </w:rPr>
              <w:t>Structured logs</w:t>
            </w:r>
          </w:p>
        </w:tc>
        <w:tc>
          <w:tcPr>
            <w:tcW w:type="dxa" w:w="4824"/>
          </w:tcPr>
          <w:p>
            <w:r/>
            <w:r>
              <w:rPr>
                <w:b w:val="0"/>
                <w:sz w:val="18"/>
              </w:rPr>
              <w:t>JSON to stdout → Cloud Logging parses fields directly</w:t>
            </w:r>
          </w:p>
        </w:tc>
      </w:tr>
      <w:tr>
        <w:tc>
          <w:tcPr>
            <w:tcW w:type="dxa" w:w="4824"/>
          </w:tcPr>
          <w:p>
            <w:r/>
            <w:r>
              <w:rPr>
                <w:b w:val="0"/>
                <w:sz w:val="18"/>
              </w:rPr>
              <w:t>Liveness</w:t>
            </w:r>
          </w:p>
        </w:tc>
        <w:tc>
          <w:tcPr>
            <w:tcW w:type="dxa" w:w="4824"/>
          </w:tcPr>
          <w:p>
            <w:r/>
            <w:r>
              <w:rPr>
                <w:rFonts w:ascii="Consolas" w:hAnsi="Consolas"/>
                <w:color w:val="BE123C"/>
                <w:sz w:val="18"/>
              </w:rPr>
              <w:t>GET /health</w:t>
            </w:r>
            <w:r>
              <w:rPr>
                <w:b w:val="0"/>
                <w:sz w:val="18"/>
              </w:rPr>
              <w:t xml:space="preserve"> (process up)</w:t>
            </w:r>
          </w:p>
        </w:tc>
      </w:tr>
      <w:tr>
        <w:tc>
          <w:tcPr>
            <w:tcW w:type="dxa" w:w="4824"/>
          </w:tcPr>
          <w:p>
            <w:r/>
            <w:r>
              <w:rPr>
                <w:b w:val="0"/>
                <w:sz w:val="18"/>
              </w:rPr>
              <w:t>Readiness</w:t>
            </w:r>
          </w:p>
        </w:tc>
        <w:tc>
          <w:tcPr>
            <w:tcW w:type="dxa" w:w="4824"/>
          </w:tcPr>
          <w:p>
            <w:r/>
            <w:r>
              <w:rPr>
                <w:rFonts w:ascii="Consolas" w:hAnsi="Consolas"/>
                <w:color w:val="BE123C"/>
                <w:sz w:val="18"/>
              </w:rPr>
              <w:t>GET /ready</w:t>
            </w:r>
            <w:r>
              <w:rPr>
                <w:b w:val="0"/>
                <w:sz w:val="18"/>
              </w:rPr>
              <w:t xml:space="preserve"> (database reachable) — what Caddy and uptime checks watch</w:t>
            </w:r>
          </w:p>
        </w:tc>
      </w:tr>
      <w:tr>
        <w:tc>
          <w:tcPr>
            <w:tcW w:type="dxa" w:w="4824"/>
          </w:tcPr>
          <w:p>
            <w:r/>
            <w:r>
              <w:rPr>
                <w:b w:val="0"/>
                <w:sz w:val="18"/>
              </w:rPr>
              <w:t>Container recovery</w:t>
            </w:r>
          </w:p>
        </w:tc>
        <w:tc>
          <w:tcPr>
            <w:tcW w:type="dxa" w:w="4824"/>
          </w:tcPr>
          <w:p>
            <w:r/>
            <w:r>
              <w:rPr>
                <w:rFonts w:ascii="Consolas" w:hAnsi="Consolas"/>
                <w:color w:val="BE123C"/>
                <w:sz w:val="18"/>
              </w:rPr>
              <w:t>restart: always</w:t>
            </w:r>
            <w:r>
              <w:rPr>
                <w:b w:val="0"/>
                <w:sz w:val="18"/>
              </w:rPr>
              <w:t xml:space="preserve"> on every long-running service</w:t>
            </w:r>
          </w:p>
        </w:tc>
      </w:tr>
      <w:tr>
        <w:tc>
          <w:tcPr>
            <w:tcW w:type="dxa" w:w="4824"/>
          </w:tcPr>
          <w:p>
            <w:r/>
            <w:r>
              <w:rPr>
                <w:b w:val="0"/>
                <w:sz w:val="18"/>
              </w:rPr>
              <w:t>Database health</w:t>
            </w:r>
          </w:p>
        </w:tc>
        <w:tc>
          <w:tcPr>
            <w:tcW w:type="dxa" w:w="4824"/>
          </w:tcPr>
          <w:p>
            <w:r/>
            <w:r>
              <w:rPr>
                <w:rFonts w:ascii="Consolas" w:hAnsi="Consolas"/>
                <w:color w:val="BE123C"/>
                <w:sz w:val="18"/>
              </w:rPr>
              <w:t>/metrics</w:t>
            </w:r>
            <w:r>
              <w:rPr>
                <w:b w:val="0"/>
                <w:sz w:val="18"/>
              </w:rPr>
              <w:t xml:space="preserve">: </w:t>
            </w:r>
            <w:r>
              <w:rPr>
                <w:rFonts w:ascii="Consolas" w:hAnsi="Consolas"/>
                <w:color w:val="BE123C"/>
                <w:sz w:val="18"/>
              </w:rPr>
              <w:t>senseminds_db_reachable</w:t>
            </w:r>
            <w:r>
              <w:rPr>
                <w:b w:val="0"/>
                <w:sz w:val="18"/>
              </w:rPr>
              <w:t>, connection-pool checkout gauges</w:t>
            </w:r>
          </w:p>
        </w:tc>
      </w:tr>
      <w:tr>
        <w:tc>
          <w:tcPr>
            <w:tcW w:type="dxa" w:w="4824"/>
          </w:tcPr>
          <w:p>
            <w:r/>
            <w:r>
              <w:rPr>
                <w:b w:val="0"/>
                <w:sz w:val="18"/>
              </w:rPr>
              <w:t>Resource health</w:t>
            </w:r>
          </w:p>
        </w:tc>
        <w:tc>
          <w:tcPr>
            <w:tcW w:type="dxa" w:w="4824"/>
          </w:tcPr>
          <w:p>
            <w:r/>
            <w:r>
              <w:rPr>
                <w:rFonts w:ascii="Consolas" w:hAnsi="Consolas"/>
                <w:color w:val="BE123C"/>
                <w:sz w:val="18"/>
              </w:rPr>
              <w:t>/metrics</w:t>
            </w:r>
            <w:r>
              <w:rPr>
                <w:b w:val="0"/>
                <w:sz w:val="18"/>
              </w:rPr>
              <w:t>: disk used-ratio (the durability threat), memory, load</w:t>
            </w:r>
          </w:p>
        </w:tc>
      </w:tr>
      <w:tr>
        <w:tc>
          <w:tcPr>
            <w:tcW w:type="dxa" w:w="4824"/>
          </w:tcPr>
          <w:p>
            <w:r/>
            <w:r>
              <w:rPr>
                <w:b w:val="0"/>
                <w:sz w:val="18"/>
              </w:rPr>
              <w:t>Data-volume signals</w:t>
            </w:r>
          </w:p>
        </w:tc>
        <w:tc>
          <w:tcPr>
            <w:tcW w:type="dxa" w:w="4824"/>
          </w:tcPr>
          <w:p>
            <w:r/>
            <w:r>
              <w:rPr>
                <w:rFonts w:ascii="Consolas" w:hAnsi="Consolas"/>
                <w:color w:val="BE123C"/>
                <w:sz w:val="18"/>
              </w:rPr>
              <w:t>/metrics</w:t>
            </w:r>
            <w:r>
              <w:rPr>
                <w:b w:val="0"/>
                <w:sz w:val="18"/>
              </w:rPr>
              <w:t>: findings / runs / alerts / KG-node counts</w:t>
            </w:r>
          </w:p>
        </w:tc>
      </w:tr>
    </w:tbl>
    <w:p/>
    <w:p>
      <w:r>
        <w:rPr>
          <w:rFonts w:ascii="Consolas" w:hAnsi="Consolas"/>
          <w:color w:val="BE123C"/>
          <w:sz w:val="21"/>
        </w:rPr>
        <w:t>/metrics</w:t>
      </w:r>
      <w:r>
        <w:rPr>
          <w:b w:val="0"/>
          <w:sz w:val="21"/>
        </w:rPr>
        <w:t xml:space="preserve"> is </w:t>
      </w:r>
      <w:r>
        <w:rPr>
          <w:b/>
          <w:sz w:val="21"/>
        </w:rPr>
        <w:t>not</w:t>
      </w:r>
      <w:r>
        <w:rPr>
          <w:b w:val="0"/>
          <w:sz w:val="21"/>
        </w:rPr>
        <w:t xml:space="preserve"> exposed publicly through Caddy — finding and run counts are information; scrape it from inside the VM or a private network.</w:t>
      </w:r>
    </w:p>
    <w:p/>
    <w:p>
      <w:pPr>
        <w:pStyle w:val="Heading2"/>
      </w:pPr>
      <w:r>
        <w:rPr>
          <w:b/>
          <w:color w:val="1C1917"/>
          <w:sz w:val="27"/>
        </w:rPr>
        <w:t>7. Why v1 does not lock you in</w:t>
      </w:r>
    </w:p>
    <w:p>
      <w:r>
        <w:rPr>
          <w:b w:val="0"/>
          <w:sz w:val="21"/>
        </w:rPr>
        <w:t>Every piece that would need to change for a managed, multi-plant deployment is already behind an abstraction: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12"/>
            <w:shd w:fill="EDE9FE"/>
          </w:tcPr>
          <w:p>
            <w:r>
              <w:rPr>
                <w:b/>
              </w:rPr>
            </w:r>
            <w:r>
              <w:rPr>
                <w:b/>
                <w:sz w:val="18"/>
              </w:rPr>
              <w:t>Concern</w:t>
            </w:r>
          </w:p>
        </w:tc>
        <w:tc>
          <w:tcPr>
            <w:tcW w:type="dxa" w:w="2412"/>
            <w:shd w:fill="EDE9FE"/>
          </w:tcPr>
          <w:p>
            <w:r>
              <w:rPr>
                <w:b/>
              </w:rPr>
            </w:r>
            <w:r>
              <w:rPr>
                <w:b/>
                <w:sz w:val="18"/>
              </w:rPr>
              <w:t>v1 (single plant)</w:t>
            </w:r>
          </w:p>
        </w:tc>
        <w:tc>
          <w:tcPr>
            <w:tcW w:type="dxa" w:w="2412"/>
            <w:shd w:fill="EDE9FE"/>
          </w:tcPr>
          <w:p>
            <w:r>
              <w:rPr>
                <w:b/>
              </w:rPr>
            </w:r>
            <w:r>
              <w:rPr>
                <w:b/>
                <w:sz w:val="18"/>
              </w:rPr>
              <w:t>Future (managed / multi-plant)</w:t>
            </w:r>
          </w:p>
        </w:tc>
        <w:tc>
          <w:tcPr>
            <w:tcW w:type="dxa" w:w="2412"/>
            <w:shd w:fill="EDE9FE"/>
          </w:tcPr>
          <w:p>
            <w:r>
              <w:rPr>
                <w:b/>
              </w:rPr>
            </w:r>
            <w:r>
              <w:rPr>
                <w:b/>
                <w:sz w:val="18"/>
              </w:rPr>
              <w:t>Code change?</w:t>
            </w:r>
          </w:p>
        </w:tc>
      </w:tr>
      <w:tr>
        <w:tc>
          <w:tcPr>
            <w:tcW w:type="dxa" w:w="2412"/>
          </w:tcPr>
          <w:p>
            <w:r/>
            <w:r>
              <w:rPr>
                <w:b w:val="0"/>
                <w:sz w:val="18"/>
              </w:rPr>
              <w:t>Database</w:t>
            </w:r>
          </w:p>
        </w:tc>
        <w:tc>
          <w:tcPr>
            <w:tcW w:type="dxa" w:w="2412"/>
          </w:tcPr>
          <w:p>
            <w:r/>
            <w:r>
              <w:rPr>
                <w:b w:val="0"/>
                <w:sz w:val="18"/>
              </w:rPr>
              <w:t>Postgres+TimescaleDB on the VM</w:t>
            </w:r>
          </w:p>
        </w:tc>
        <w:tc>
          <w:tcPr>
            <w:tcW w:type="dxa" w:w="2412"/>
          </w:tcPr>
          <w:p>
            <w:r/>
            <w:r>
              <w:rPr>
                <w:b w:val="0"/>
                <w:sz w:val="18"/>
              </w:rPr>
              <w:t>Timescale Cloud, or per-plant instances</w:t>
            </w:r>
          </w:p>
        </w:tc>
        <w:tc>
          <w:tcPr>
            <w:tcW w:type="dxa" w:w="2412"/>
          </w:tcPr>
          <w:p>
            <w:r/>
            <w:r>
              <w:rPr>
                <w:b/>
                <w:sz w:val="18"/>
              </w:rPr>
              <w:t>None</w:t>
            </w:r>
            <w:r>
              <w:rPr>
                <w:b w:val="0"/>
                <w:sz w:val="18"/>
              </w:rPr>
              <w:t xml:space="preserve"> — per-store URLs are config</w:t>
            </w:r>
          </w:p>
        </w:tc>
      </w:tr>
      <w:tr>
        <w:tc>
          <w:tcPr>
            <w:tcW w:type="dxa" w:w="2412"/>
          </w:tcPr>
          <w:p>
            <w:r/>
            <w:r>
              <w:rPr>
                <w:b w:val="0"/>
                <w:sz w:val="18"/>
              </w:rPr>
              <w:t>Artifacts</w:t>
            </w:r>
          </w:p>
        </w:tc>
        <w:tc>
          <w:tcPr>
            <w:tcW w:type="dxa" w:w="2412"/>
          </w:tcPr>
          <w:p>
            <w:r/>
            <w:r>
              <w:rPr>
                <w:rFonts w:ascii="Consolas" w:hAnsi="Consolas"/>
                <w:color w:val="BE123C"/>
                <w:sz w:val="18"/>
              </w:rPr>
              <w:t>LocalDiskArtifactStore</w:t>
            </w:r>
            <w:r>
              <w:rPr>
                <w:b w:val="0"/>
                <w:sz w:val="18"/>
              </w:rPr>
              <w:t xml:space="preserve"> on the disk</w:t>
            </w:r>
          </w:p>
        </w:tc>
        <w:tc>
          <w:tcPr>
            <w:tcW w:type="dxa" w:w="2412"/>
          </w:tcPr>
          <w:p>
            <w:r/>
            <w:r>
              <w:rPr>
                <w:rFonts w:ascii="Consolas" w:hAnsi="Consolas"/>
                <w:color w:val="BE123C"/>
                <w:sz w:val="18"/>
              </w:rPr>
              <w:t>GcsArtifactStore</w:t>
            </w:r>
          </w:p>
        </w:tc>
        <w:tc>
          <w:tcPr>
            <w:tcW w:type="dxa" w:w="2412"/>
          </w:tcPr>
          <w:p>
            <w:r/>
            <w:r>
              <w:rPr>
                <w:b/>
                <w:sz w:val="18"/>
              </w:rPr>
              <w:t>None</w:t>
            </w:r>
            <w:r>
              <w:rPr>
                <w:b w:val="0"/>
                <w:sz w:val="18"/>
              </w:rPr>
              <w:t xml:space="preserve"> — </w:t>
            </w:r>
            <w:r>
              <w:rPr>
                <w:rFonts w:ascii="Consolas" w:hAnsi="Consolas"/>
                <w:color w:val="BE123C"/>
                <w:sz w:val="18"/>
              </w:rPr>
              <w:t>ArtifactStore</w:t>
            </w:r>
            <w:r>
              <w:rPr>
                <w:b w:val="0"/>
                <w:sz w:val="18"/>
              </w:rPr>
              <w:t xml:space="preserve"> port + </w:t>
            </w:r>
            <w:r>
              <w:rPr>
                <w:rFonts w:ascii="Consolas" w:hAnsi="Consolas"/>
                <w:color w:val="BE123C"/>
                <w:sz w:val="18"/>
              </w:rPr>
              <w:t>build_artifact_store</w:t>
            </w:r>
            <w:r>
              <w:rPr>
                <w:b w:val="0"/>
                <w:sz w:val="18"/>
              </w:rPr>
              <w:t xml:space="preserve"> factory</w:t>
            </w:r>
          </w:p>
        </w:tc>
      </w:tr>
      <w:tr>
        <w:tc>
          <w:tcPr>
            <w:tcW w:type="dxa" w:w="2412"/>
          </w:tcPr>
          <w:p>
            <w:r/>
            <w:r>
              <w:rPr>
                <w:b w:val="0"/>
                <w:sz w:val="18"/>
              </w:rPr>
              <w:t>Knowledge graph</w:t>
            </w:r>
          </w:p>
        </w:tc>
        <w:tc>
          <w:tcPr>
            <w:tcW w:type="dxa" w:w="2412"/>
          </w:tcPr>
          <w:p>
            <w:r/>
            <w:r>
              <w:rPr>
                <w:b w:val="0"/>
                <w:sz w:val="18"/>
              </w:rPr>
              <w:t xml:space="preserve">Postgres </w:t>
            </w:r>
            <w:r>
              <w:rPr>
                <w:rFonts w:ascii="Consolas" w:hAnsi="Consolas"/>
                <w:color w:val="BE123C"/>
                <w:sz w:val="18"/>
              </w:rPr>
              <w:t>kg_node</w:t>
            </w:r>
            <w:r>
              <w:rPr>
                <w:b w:val="0"/>
                <w:sz w:val="18"/>
              </w:rPr>
              <w:t>/</w:t>
            </w:r>
            <w:r>
              <w:rPr>
                <w:rFonts w:ascii="Consolas" w:hAnsi="Consolas"/>
                <w:color w:val="BE123C"/>
                <w:sz w:val="18"/>
              </w:rPr>
              <w:t>kg_edge</w:t>
            </w:r>
          </w:p>
        </w:tc>
        <w:tc>
          <w:tcPr>
            <w:tcW w:type="dxa" w:w="2412"/>
          </w:tcPr>
          <w:p>
            <w:r/>
            <w:r>
              <w:rPr>
                <w:b w:val="0"/>
                <w:sz w:val="18"/>
              </w:rPr>
              <w:t>Neo4j</w:t>
            </w:r>
          </w:p>
        </w:tc>
        <w:tc>
          <w:tcPr>
            <w:tcW w:type="dxa" w:w="2412"/>
          </w:tcPr>
          <w:p>
            <w:r/>
            <w:r>
              <w:rPr>
                <w:b/>
                <w:sz w:val="18"/>
              </w:rPr>
              <w:t>None</w:t>
            </w:r>
            <w:r>
              <w:rPr>
                <w:b w:val="0"/>
                <w:sz w:val="18"/>
              </w:rPr>
              <w:t xml:space="preserve"> — </w:t>
            </w:r>
            <w:r>
              <w:rPr>
                <w:rFonts w:ascii="Consolas" w:hAnsi="Consolas"/>
                <w:color w:val="BE123C"/>
                <w:sz w:val="18"/>
              </w:rPr>
              <w:t>KnowledgeGraphRepository</w:t>
            </w:r>
            <w:r>
              <w:rPr>
                <w:b w:val="0"/>
                <w:sz w:val="18"/>
              </w:rPr>
              <w:t xml:space="preserve"> port</w:t>
            </w:r>
          </w:p>
        </w:tc>
      </w:tr>
      <w:tr>
        <w:tc>
          <w:tcPr>
            <w:tcW w:type="dxa" w:w="2412"/>
          </w:tcPr>
          <w:p>
            <w:r/>
            <w:r>
              <w:rPr>
                <w:b w:val="0"/>
                <w:sz w:val="18"/>
              </w:rPr>
              <w:t>Compute</w:t>
            </w:r>
          </w:p>
        </w:tc>
        <w:tc>
          <w:tcPr>
            <w:tcW w:type="dxa" w:w="2412"/>
          </w:tcPr>
          <w:p>
            <w:r/>
            <w:r>
              <w:rPr>
                <w:b w:val="0"/>
                <w:sz w:val="18"/>
              </w:rPr>
              <w:t>one VM</w:t>
            </w:r>
          </w:p>
        </w:tc>
        <w:tc>
          <w:tcPr>
            <w:tcW w:type="dxa" w:w="2412"/>
          </w:tcPr>
          <w:p>
            <w:r/>
            <w:r>
              <w:rPr>
                <w:b w:val="0"/>
                <w:sz w:val="18"/>
              </w:rPr>
              <w:t>Cloud Run / GKE, autoscaled</w:t>
            </w:r>
          </w:p>
        </w:tc>
        <w:tc>
          <w:tcPr>
            <w:tcW w:type="dxa" w:w="2412"/>
          </w:tcPr>
          <w:p>
            <w:r/>
            <w:r>
              <w:rPr>
                <w:b w:val="0"/>
                <w:sz w:val="18"/>
              </w:rPr>
              <w:t>Config + provisioning only</w:t>
            </w:r>
          </w:p>
        </w:tc>
      </w:tr>
    </w:tbl>
    <w:p/>
    <w:p>
      <w:r>
        <w:rPr>
          <w:b w:val="0"/>
          <w:sz w:val="21"/>
        </w:rPr>
        <w:t>The application layer is unaware of any of these choices. v1 is a deployment decision, not an architectural one.</w:t>
      </w:r>
    </w:p>
    <w:p/>
    <w:p>
      <w:pPr>
        <w:pStyle w:val="Heading2"/>
      </w:pPr>
      <w:r>
        <w:rPr>
          <w:b/>
          <w:color w:val="1C1917"/>
          <w:sz w:val="27"/>
        </w:rPr>
        <w:t>8. Provisioning and operation</w:t>
      </w:r>
    </w:p>
    <w:p>
      <w:pPr>
        <w:pStyle w:val="ListBullet"/>
      </w:pPr>
      <w:r>
        <w:rPr>
          <w:rFonts w:ascii="Consolas" w:hAnsi="Consolas"/>
          <w:color w:val="BE123C"/>
          <w:sz w:val="21"/>
        </w:rPr>
        <w:t>deployment/scripts/provision-vm.sh</w:t>
      </w:r>
      <w:r>
        <w:rPr>
          <w:b w:val="0"/>
          <w:sz w:val="21"/>
        </w:rPr>
        <w:t xml:space="preserve"> — creates the VM, the persistent data disk (auto-delete off), a daily snapshot schedule, and a firewall exposing only 80/443/22.</w:t>
      </w:r>
    </w:p>
    <w:p>
      <w:pPr>
        <w:pStyle w:val="ListBullet"/>
      </w:pPr>
      <w:r>
        <w:rPr>
          <w:rFonts w:ascii="Consolas" w:hAnsi="Consolas"/>
          <w:color w:val="BE123C"/>
          <w:sz w:val="21"/>
        </w:rPr>
        <w:t>deployment/scripts/backup.sh</w:t>
      </w:r>
      <w:r>
        <w:rPr>
          <w:b w:val="0"/>
          <w:sz w:val="21"/>
        </w:rPr>
        <w:t xml:space="preserve"> — nightly consistent </w:t>
      </w:r>
      <w:r>
        <w:rPr>
          <w:rFonts w:ascii="Consolas" w:hAnsi="Consolas"/>
          <w:color w:val="BE123C"/>
          <w:sz w:val="21"/>
        </w:rPr>
        <w:t>pg_dump</w:t>
      </w:r>
      <w:r>
        <w:rPr>
          <w:b w:val="0"/>
          <w:sz w:val="21"/>
        </w:rPr>
        <w:t xml:space="preserve"> → GCS.</w:t>
      </w:r>
    </w:p>
    <w:p>
      <w:pPr>
        <w:pStyle w:val="ListBullet"/>
      </w:pPr>
      <w:r>
        <w:rPr>
          <w:rFonts w:ascii="Consolas" w:hAnsi="Consolas"/>
          <w:color w:val="BE123C"/>
          <w:sz w:val="21"/>
        </w:rPr>
        <w:t>deployment/scripts/validate-restore.sh</w:t>
      </w:r>
      <w:r>
        <w:rPr>
          <w:b w:val="0"/>
          <w:sz w:val="21"/>
        </w:rPr>
        <w:t xml:space="preserve"> — restores into a throwaway database and checks it; run weekly.</w:t>
      </w:r>
    </w:p>
    <w:p>
      <w:pPr>
        <w:pStyle w:val="ListBullet"/>
      </w:pPr>
      <w:r>
        <w:rPr>
          <w:rFonts w:ascii="Consolas" w:hAnsi="Consolas"/>
          <w:color w:val="BE123C"/>
          <w:sz w:val="21"/>
        </w:rPr>
        <w:t>deployment/scripts/restore.sh</w:t>
      </w:r>
      <w:r>
        <w:rPr>
          <w:b w:val="0"/>
          <w:sz w:val="21"/>
        </w:rPr>
        <w:t xml:space="preserve"> — disaster recovery into the live database.</w:t>
      </w:r>
    </w:p>
    <w:p>
      <w:r>
        <w:rPr>
          <w:b w:val="0"/>
          <w:sz w:val="21"/>
        </w:rPr>
        <w:t xml:space="preserve">Full backup, retention, and recovery policy: </w:t>
      </w:r>
      <w:r>
        <w:rPr>
          <w:b/>
          <w:sz w:val="21"/>
        </w:rPr>
        <w:t>DATA-GOVERNANCE.md</w:t>
      </w:r>
      <w:r>
        <w:rPr>
          <w:b w:val="0"/>
          <w:sz w:val="21"/>
        </w:rPr>
        <w:t xml:space="preserve">. Step-by-step GCP commands: </w:t>
      </w:r>
      <w:r>
        <w:rPr>
          <w:b/>
          <w:sz w:val="21"/>
        </w:rPr>
        <w:t>DEPLOYMENT.md</w:t>
      </w:r>
      <w:r>
        <w:rPr>
          <w:b w:val="0"/>
          <w:sz w:val="21"/>
        </w:rPr>
        <w:t xml:space="preserve"> (VM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7C3AED"/>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1C191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7534E"/>
      <w:sz w:val="22"/>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Calibri" w:hAnsi="Calibri"/>
      <w:b/>
      <w:bCs/>
      <w:i/>
      <w:iCs/>
      <w:color w:val="57534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